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17" w:tblpY="2934"/>
        <w:tblOverlap w:val="never"/>
        <w:tblW w:w="142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215"/>
        <w:gridCol w:w="1200"/>
        <w:gridCol w:w="1605"/>
        <w:gridCol w:w="1305"/>
        <w:gridCol w:w="1155"/>
        <w:gridCol w:w="1245"/>
        <w:gridCol w:w="5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2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服务内容（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填写</w:t>
            </w: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门诊、急诊、住院、输液等）</w:t>
            </w:r>
          </w:p>
        </w:tc>
        <w:tc>
          <w:tcPr>
            <w:tcW w:w="8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2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门诊日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</w:t>
            </w: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接诊量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（人次）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急诊日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</w:t>
            </w: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接诊量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（人次）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儿科住院床位数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（张）</w:t>
            </w:r>
          </w:p>
        </w:tc>
        <w:tc>
          <w:tcPr>
            <w:tcW w:w="521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（填写服务内容和能力）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聊城市妇幼保健院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聊城市高新区长江路56号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0635—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5058781、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0635—5058782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门诊，急诊，住院，输液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90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作为市级重点专科，涵盖新生儿，儿童呼吸，消化，神经，血液，风湿免疫等专业。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1，作为聊城市新生儿救治中心，可提供新生儿急诊急救诊疗服务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2，拥有儿童支气管镜诊疗项目，常规开展支气管镜肺泡灌洗，异物取出等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3，拥有奥林巴斯CV290胃镜系统，可以提供儿童胃镜检查，消化道异物取出等诊疗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4，拥有肺功能仪，可提供支气管哮喘，重症肺炎的肺功能评估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</w:tr>
    </w:tbl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聊城市妇幼保健院儿科医疗服务信息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4YWRlMzQ4YjQ5OWIyM2Q5MGUyY2MyZTJiNTEwNDAifQ=="/>
  </w:docVars>
  <w:rsids>
    <w:rsidRoot w:val="3DD215D1"/>
    <w:rsid w:val="060077E8"/>
    <w:rsid w:val="07781575"/>
    <w:rsid w:val="0E1327A4"/>
    <w:rsid w:val="12A07F53"/>
    <w:rsid w:val="13BA2040"/>
    <w:rsid w:val="2079293B"/>
    <w:rsid w:val="209239FD"/>
    <w:rsid w:val="3D206450"/>
    <w:rsid w:val="3DD215D1"/>
    <w:rsid w:val="4B842010"/>
    <w:rsid w:val="66F45E44"/>
    <w:rsid w:val="6E52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2023-11-23T06:33:00Z</dcterms:created>
  <dc:creator>静心舍得</dc:creator>
  <cp:lastModifiedBy>天空</cp:lastModifiedBy>
  <dcterms:modified xsi:type="dcterms:W3CDTF">2023-11-27T07:55:19Z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4CCDE91D6C7641289F0CD3B8010F958C_12</vt:lpwstr>
  </property>
</Properties>
</file>