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CF2FA1">
      <w:pPr>
        <w:keepNext w:val="0"/>
        <w:keepLines w:val="0"/>
        <w:pageBreakBefore w:val="0"/>
        <w:kinsoku/>
        <w:overflowPunct/>
        <w:topLinePunct w:val="0"/>
        <w:bidi w:val="0"/>
        <w:spacing w:line="240" w:lineRule="auto"/>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44"/>
          <w:szCs w:val="44"/>
          <w:highlight w:val="none"/>
          <w:lang w:val="en-US" w:eastAsia="zh-CN"/>
        </w:rPr>
        <w:t>项目说明</w:t>
      </w:r>
    </w:p>
    <w:p w14:paraId="2C453DD5">
      <w:pPr>
        <w:pStyle w:val="9"/>
        <w:numPr>
          <w:ilvl w:val="0"/>
          <w:numId w:val="0"/>
        </w:numPr>
        <w:spacing w:before="156" w:after="156"/>
        <w:ind w:left="420" w:leftChars="0" w:hanging="42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一、采购内容</w:t>
      </w:r>
    </w:p>
    <w:p w14:paraId="4153AAD1">
      <w:pPr>
        <w:pStyle w:val="9"/>
        <w:numPr>
          <w:ilvl w:val="0"/>
          <w:numId w:val="0"/>
        </w:numPr>
        <w:spacing w:before="156" w:after="156"/>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kern w:val="2"/>
          <w:sz w:val="32"/>
          <w:szCs w:val="32"/>
          <w:lang w:val="en-US" w:eastAsia="zh-CN" w:bidi="ar-SA"/>
        </w:rPr>
        <w:t>手术室医用输血输液加温器采购项目</w:t>
      </w:r>
    </w:p>
    <w:p w14:paraId="0C3562F3">
      <w:pPr>
        <w:pStyle w:val="9"/>
        <w:numPr>
          <w:ilvl w:val="0"/>
          <w:numId w:val="2"/>
        </w:numPr>
        <w:spacing w:before="156" w:after="156"/>
        <w:ind w:left="420" w:leftChars="0" w:hanging="420" w:firstLineChars="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预算价3万元。</w:t>
      </w:r>
    </w:p>
    <w:p w14:paraId="4A67D229">
      <w:pPr>
        <w:numPr>
          <w:ilvl w:val="0"/>
          <w:numId w:val="0"/>
        </w:numPr>
        <w:rPr>
          <w:rFonts w:hint="eastAsia" w:ascii="仿宋_GB2312" w:hAnsi="仿宋_GB2312" w:eastAsia="仿宋_GB2312" w:cs="仿宋_GB2312"/>
          <w:b/>
          <w:bCs/>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三、投标人资质资格要求的证明材料和情况说明：</w:t>
      </w:r>
    </w:p>
    <w:p w14:paraId="0C775D48">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w:t>
      </w:r>
      <w:r>
        <w:rPr>
          <w:rFonts w:hint="eastAsia" w:ascii="宋体" w:hAnsi="宋体" w:cs="宋体"/>
          <w:b w:val="0"/>
          <w:bCs w:val="0"/>
          <w:kern w:val="2"/>
          <w:sz w:val="28"/>
          <w:szCs w:val="28"/>
          <w:highlight w:val="none"/>
          <w:lang w:val="en-US" w:eastAsia="zh-CN" w:bidi="ar-SA"/>
        </w:rPr>
        <w:t>；</w:t>
      </w:r>
    </w:p>
    <w:p w14:paraId="3DC64D83">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2</w:t>
      </w:r>
      <w:r>
        <w:rPr>
          <w:rFonts w:hint="eastAsia" w:ascii="宋体" w:hAnsi="宋体" w:eastAsia="宋体" w:cs="宋体"/>
          <w:b w:val="0"/>
          <w:bCs w:val="0"/>
          <w:kern w:val="2"/>
          <w:sz w:val="28"/>
          <w:szCs w:val="28"/>
          <w:highlight w:val="none"/>
          <w:lang w:val="en-US" w:eastAsia="zh-CN" w:bidi="ar-SA"/>
        </w:rPr>
        <w:t>、法定代表人身份证明、身份证复印件、法定代表人的授权委托书及委托代理人的身份证；若法定代表人参加，仅提供法定代表人身份证明及身份证复印件（格式见附件）；</w:t>
      </w:r>
    </w:p>
    <w:p w14:paraId="2D516A83">
      <w:pPr>
        <w:pStyle w:val="6"/>
        <w:ind w:left="0" w:leftChars="0" w:firstLine="0" w:firstLineChars="0"/>
        <w:jc w:val="both"/>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eastAsia="宋体" w:cs="宋体"/>
          <w:b w:val="0"/>
          <w:bCs w:val="0"/>
          <w:kern w:val="2"/>
          <w:sz w:val="28"/>
          <w:szCs w:val="28"/>
          <w:highlight w:val="none"/>
          <w:lang w:val="zh-CN" w:eastAsia="zh-CN" w:bidi="ar-SA"/>
        </w:rPr>
        <w:t>、</w:t>
      </w:r>
      <w:r>
        <w:rPr>
          <w:rFonts w:hint="eastAsia" w:ascii="宋体" w:hAnsi="宋体" w:eastAsia="宋体" w:cs="宋体"/>
          <w:b w:val="0"/>
          <w:bCs w:val="0"/>
          <w:kern w:val="2"/>
          <w:sz w:val="28"/>
          <w:szCs w:val="28"/>
          <w:highlight w:val="none"/>
          <w:lang w:val="en-US" w:eastAsia="zh-CN" w:bidi="ar-SA"/>
        </w:rPr>
        <w:t>投标人声明函：《投标人承诺书》及《投标人责任声明》（格式见附件）</w:t>
      </w:r>
      <w:r>
        <w:rPr>
          <w:rFonts w:hint="eastAsia" w:ascii="宋体" w:hAnsi="宋体" w:cs="宋体"/>
          <w:b w:val="0"/>
          <w:bCs w:val="0"/>
          <w:kern w:val="2"/>
          <w:sz w:val="28"/>
          <w:szCs w:val="28"/>
          <w:highlight w:val="none"/>
          <w:lang w:val="en-US" w:eastAsia="zh-CN" w:bidi="ar-SA"/>
        </w:rPr>
        <w:t>；</w:t>
      </w:r>
    </w:p>
    <w:p w14:paraId="02854D8A">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4</w:t>
      </w:r>
      <w:r>
        <w:rPr>
          <w:rFonts w:hint="eastAsia" w:ascii="宋体" w:hAnsi="宋体" w:eastAsia="宋体" w:cs="宋体"/>
          <w:b w:val="0"/>
          <w:bCs w:val="0"/>
          <w:kern w:val="2"/>
          <w:sz w:val="28"/>
          <w:szCs w:val="28"/>
          <w:highlight w:val="none"/>
          <w:lang w:val="en-US" w:eastAsia="zh-CN" w:bidi="ar-SA"/>
        </w:rPr>
        <w:t>、本项目的特定资格要求：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1A023AA3">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②代理商应具备：生产商的医疗器械注册证（第一类医疗器械需提供医疗器械备案信息表）、生产商的医疗器械生产许可证（第一类医疗器械需提供医疗器械生产备案凭证）、生产商的授权书、代理商的医疗器械经营许可证（第一类医疗器械无需提供、第二类医疗器械需提供医疗器械经营许可证或医疗器械经营备案凭证）。</w:t>
      </w:r>
    </w:p>
    <w:p w14:paraId="745F25A0">
      <w:pPr>
        <w:rPr>
          <w:rFonts w:hint="eastAsia" w:ascii="仿宋_GB2312" w:hAnsi="仿宋_GB2312" w:eastAsia="仿宋_GB2312" w:cs="仿宋_GB2312"/>
          <w:sz w:val="32"/>
          <w:szCs w:val="32"/>
          <w:lang w:val="en-US" w:eastAsia="zh-CN"/>
        </w:rPr>
      </w:pPr>
      <w:r>
        <w:rPr>
          <w:rFonts w:hint="eastAsia" w:ascii="宋体" w:hAnsi="宋体" w:eastAsia="宋体" w:cs="宋体"/>
          <w:b w:val="0"/>
          <w:bCs w:val="0"/>
          <w:kern w:val="2"/>
          <w:sz w:val="28"/>
          <w:szCs w:val="28"/>
          <w:highlight w:val="none"/>
          <w:lang w:val="en-US" w:eastAsia="zh-CN" w:bidi="ar-SA"/>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50BEC896">
      <w:pPr>
        <w:pStyle w:val="9"/>
        <w:numPr>
          <w:ilvl w:val="0"/>
          <w:numId w:val="0"/>
        </w:numPr>
        <w:spacing w:before="156" w:after="156"/>
        <w:ind w:leftChars="0"/>
        <w:rPr>
          <w:rFonts w:ascii="宋体" w:hAnsi="宋体" w:eastAsia="宋体" w:cs="宋体"/>
          <w:sz w:val="24"/>
          <w:szCs w:val="24"/>
        </w:rPr>
      </w:pPr>
      <w:r>
        <w:rPr>
          <w:rFonts w:hint="eastAsia" w:ascii="仿宋_GB2312" w:hAnsi="仿宋_GB2312" w:eastAsia="仿宋_GB2312" w:cs="仿宋_GB2312"/>
          <w:sz w:val="32"/>
          <w:szCs w:val="32"/>
          <w:lang w:val="en-US" w:eastAsia="zh-CN"/>
        </w:rPr>
        <w:t>四、技术参数：</w:t>
      </w:r>
    </w:p>
    <w:p w14:paraId="7558E550">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1、主机结构：一体化支架提手，高亮度彩色显示屏，轻触按键；</w:t>
      </w:r>
    </w:p>
    <w:p w14:paraId="7C6AEC9C">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2.加热模式：全程包裹式加温，液体管路无裸露部分，加温后液体直接输入人体，热量不流失，适合寒冷环境使用；</w:t>
      </w:r>
      <w:bookmarkStart w:id="1" w:name="_GoBack"/>
      <w:bookmarkEnd w:id="1"/>
    </w:p>
    <w:p w14:paraId="0D88929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3、温度可调范围：32℃-42℃，连续可调，增率0.1℃；</w:t>
      </w:r>
    </w:p>
    <w:p w14:paraId="5C08D8FE">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4、屏幕监测数据至少包括：加热时间，设定温度，加热温度，故障信息；</w:t>
      </w:r>
    </w:p>
    <w:p w14:paraId="31111B8B">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5、系统内置报警测试功能；</w:t>
      </w:r>
    </w:p>
    <w:p w14:paraId="3EFFD855">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6、超温断电保护：超过42℃系统声光报警自动停止加热；</w:t>
      </w:r>
    </w:p>
    <w:p w14:paraId="5CD9EA10">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7、低温报警：低于32℃系统声光报警提示低温；</w:t>
      </w:r>
    </w:p>
    <w:p w14:paraId="64CB171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8、加热系统：可直接加温常规输血输液管路，可同时连接两条加热管，可单独设定每条加热管的温度并恒温控制；</w:t>
      </w:r>
    </w:p>
    <w:p w14:paraId="35C84F73">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9、预热时间：从20℃-36℃≤3分钟；</w:t>
      </w:r>
    </w:p>
    <w:p w14:paraId="35785093">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10、加热管结构：柔性加热套管，确保液体管路全程包裹、均匀加热；</w:t>
      </w:r>
    </w:p>
    <w:p w14:paraId="040B5604">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11、两条加热管可串联使用；</w:t>
      </w:r>
    </w:p>
    <w:p w14:paraId="6F98099F">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12、设备支持加热管可选长度≥5种；</w:t>
      </w:r>
    </w:p>
    <w:p w14:paraId="7D2A5FB1">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13、设备需配置内径3.5mm，长度1.4米的常规加热管二条；</w:t>
      </w:r>
    </w:p>
    <w:p w14:paraId="64E2AFBA">
      <w:pPr>
        <w:bidi w:val="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14、质保期≥2年</w:t>
      </w:r>
    </w:p>
    <w:p w14:paraId="06B9B843">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五、设备项目要求（或配送及售后服务要求）</w:t>
      </w:r>
    </w:p>
    <w:p w14:paraId="7283DB7C">
      <w:pPr>
        <w:bidi w:val="0"/>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设备的交付期：设备运输、安装和验收:</w:t>
      </w:r>
    </w:p>
    <w:p w14:paraId="094305AE">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1.乙方确保设备安全无损地运抵甲方指定现场,并承担设备的运费、装卸费、安装费和保险费等费用。</w:t>
      </w:r>
    </w:p>
    <w:p w14:paraId="582DF5DE">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2.乙方应提供设备的技术文件，包括相应的操作手册、维护手册、质量保证文件、服务指南等，这些文件应随同设备一起发运至甲方。 </w:t>
      </w:r>
    </w:p>
    <w:p w14:paraId="6422D911">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3.甲乙双方在符合国家相关技术标准的基础上，对设备进行开箱清点检查验收，如果发现数量不足或有质量、技术等问题，乙方应在7个工作日内，按照甲方的要求，采取补足、更换或退货等处理措施，并承担由此发生的一切损失和费用。 </w:t>
      </w:r>
    </w:p>
    <w:p w14:paraId="6CA9E1BE">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4.设备到货后，乙方应在接到甲方通知后安排技术人员在5天内安装调试完成，并根据甲方要求完使用培训。 </w:t>
      </w:r>
    </w:p>
    <w:p w14:paraId="6294FEE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5.提供设备安装和维修所需的专用工具和辅助材料，安装调试完毕，完成甲方要求验收合格后，签字确认。</w:t>
      </w:r>
    </w:p>
    <w:p w14:paraId="09AB6172">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收货地点：甲方指定收货地点。 </w:t>
      </w:r>
    </w:p>
    <w:p w14:paraId="6711115F">
      <w:pPr>
        <w:bidi w:val="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质量保证及售后服务</w:t>
      </w:r>
      <w:r>
        <w:rPr>
          <w:rFonts w:hint="eastAsia" w:ascii="仿宋_GB2312" w:hAnsi="仿宋_GB2312" w:eastAsia="仿宋_GB2312" w:cs="仿宋_GB2312"/>
          <w:sz w:val="32"/>
          <w:szCs w:val="32"/>
          <w:lang w:val="en-US" w:eastAsia="zh-CN"/>
        </w:rPr>
        <w:t xml:space="preserve"> </w:t>
      </w:r>
    </w:p>
    <w:p w14:paraId="7BA9DF42">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1.乙方保证所供设备是全新的、未使用过的，并符合国家有关标准、制造厂标准及行业技术标准要求。如使用后发现设备的质量、规格或性能与合同不符，或证实设备是有缺陷的，包括潜在的缺陷或使用不符合要求的材料等，乙方应在接到甲方通知后7个工作 日内负责采用符合合同规定的性能、质量和规格要求的设备来进行更换，并相应延长质量保证期。其费用由乙方负担，且甲方有权无条件解除合同。 </w:t>
      </w:r>
    </w:p>
    <w:p w14:paraId="7B3477A1">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2.乙方应提供设备保修期24个月，保修期的期限应以甲乙双方的验收合格签收之日起计算，保修期内免费更换零配件及工时费。乙方在保修期内应确保设备开机率为95%以上，如达不到此 要求，即相应延长保修期。 </w:t>
      </w:r>
    </w:p>
    <w:p w14:paraId="332C0AC9">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3.报修响应时间1小时，到场时间12小时（不可抗拒力量下除外）。 </w:t>
      </w:r>
    </w:p>
    <w:p w14:paraId="2FD9A813">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4.保修期满后，年度定期预防性维护保养次数，不少于2次。 </w:t>
      </w:r>
    </w:p>
    <w:p w14:paraId="50D0F00C">
      <w:pPr>
        <w:bidi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5.乙方负责设备的终身维修并应继续提供优质的服务，储备足够的零配件备库，保修期满后，以优惠价供应维修零配件。 </w:t>
      </w:r>
    </w:p>
    <w:p w14:paraId="065BEF5D">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6.因乙方设备、配件、耗材、知识产权等原因造成的一切事故、纠纷，由乙方负全部责任并承担由此产生的一切损失和费用。 </w:t>
      </w:r>
    </w:p>
    <w:p w14:paraId="71BEE30C">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六、服务期/交货期</w:t>
      </w:r>
      <w:r>
        <w:rPr>
          <w:rFonts w:hint="eastAsia" w:ascii="仿宋_GB2312" w:hAnsi="仿宋_GB2312" w:eastAsia="仿宋_GB2312" w:cs="仿宋_GB2312"/>
          <w:sz w:val="32"/>
          <w:szCs w:val="32"/>
          <w:lang w:val="en-US" w:eastAsia="zh-CN"/>
        </w:rPr>
        <w:t>：</w:t>
      </w:r>
    </w:p>
    <w:p w14:paraId="1CF2B779">
      <w:pPr>
        <w:bidi w:val="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乙方在合同生效的__10__个日历天内向甲方交付上述设备，乙方逾期供货，每延长一天，扣除合同额的千分之五做为违约金；延期15天以上，甲方有权无条件解除合同。</w:t>
      </w:r>
    </w:p>
    <w:p w14:paraId="3245CA5F">
      <w:pPr>
        <w:numPr>
          <w:ilvl w:val="0"/>
          <w:numId w:val="0"/>
        </w:num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七、付款方式</w:t>
      </w:r>
      <w:r>
        <w:rPr>
          <w:rFonts w:hint="eastAsia" w:ascii="仿宋_GB2312" w:hAnsi="仿宋_GB2312" w:eastAsia="仿宋_GB2312" w:cs="仿宋_GB2312"/>
          <w:sz w:val="32"/>
          <w:szCs w:val="32"/>
          <w:lang w:val="en-US" w:eastAsia="zh-CN"/>
        </w:rPr>
        <w:t>：</w:t>
      </w:r>
    </w:p>
    <w:p w14:paraId="15CA08FC">
      <w:pPr>
        <w:rPr>
          <w:rFonts w:hint="eastAsia" w:ascii="宋体" w:hAnsi="宋体" w:eastAsia="宋体" w:cs="宋体"/>
          <w:b w:val="0"/>
          <w:bCs w:val="0"/>
          <w:kern w:val="2"/>
          <w:sz w:val="28"/>
          <w:szCs w:val="28"/>
          <w:highlight w:val="none"/>
          <w:lang w:val="en-US" w:eastAsia="zh-CN" w:bidi="ar-SA"/>
        </w:rPr>
        <w:sectPr>
          <w:type w:val="continuous"/>
          <w:pgSz w:w="11906" w:h="16838"/>
          <w:pgMar w:top="1440" w:right="1417" w:bottom="1440" w:left="1417" w:header="851" w:footer="992" w:gutter="0"/>
          <w:cols w:space="720" w:num="1"/>
          <w:docGrid w:type="lines" w:linePitch="312" w:charSpace="0"/>
        </w:sectPr>
      </w:pPr>
      <w:r>
        <w:rPr>
          <w:rFonts w:hint="eastAsia" w:ascii="仿宋_GB2312" w:hAnsi="仿宋_GB2312" w:eastAsia="仿宋_GB2312" w:cs="仿宋_GB2312"/>
          <w:bCs/>
          <w:color w:val="auto"/>
          <w:kern w:val="44"/>
          <w:sz w:val="32"/>
          <w:szCs w:val="32"/>
          <w:lang w:val="en-US" w:eastAsia="zh-CN" w:bidi="ar-SA"/>
        </w:rPr>
        <w:t>合同签订生效后，供货完毕采购人验收合格后，成交供应商提供正规发票付合同价款的 90%,剩余10％质保期结束后无任何质量问题一次性付清。</w:t>
      </w:r>
      <w:r>
        <w:rPr>
          <w:rFonts w:hint="eastAsia" w:ascii="仿宋_GB2312" w:hAnsi="仿宋_GB2312" w:eastAsia="仿宋_GB2312" w:cs="仿宋_GB2312"/>
          <w:color w:val="FF0000"/>
          <w:kern w:val="0"/>
          <w:sz w:val="32"/>
          <w:szCs w:val="32"/>
          <w:lang w:val="en-US" w:eastAsia="zh-CN" w:bidi="ar"/>
        </w:rPr>
        <w:t xml:space="preserve"> </w:t>
      </w:r>
    </w:p>
    <w:p w14:paraId="71917A6D">
      <w:pPr>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八、响应文件编写要求</w:t>
      </w:r>
    </w:p>
    <w:p w14:paraId="3F97593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3CB144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0D4D77B7">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67B2D85C">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3552EBB7">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663B6FD0">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须提供法定代表人（负责人）身份证复印件（加盖公章）、法定代表人（负责人）授权委托书原件及授权代表的身份证复印件（加盖公章）；如法定代表人（负责人）参加报价，可只提供法定代表人（负责人）身份证明原件及身份证复印件（加盖公章）(见附件)。</w:t>
      </w:r>
    </w:p>
    <w:p w14:paraId="2AF7D423">
      <w:pPr>
        <w:pStyle w:val="6"/>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1058793C">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56AA255D">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10CE8A7D">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668051FB">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86C12AD">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16C13C3F">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99F7980">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65CC588C">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2D13490A">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0237726D">
      <w:pPr>
        <w:numPr>
          <w:ilvl w:val="0"/>
          <w:numId w:val="3"/>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30322077">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680A91EE">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706A5E3F">
      <w:pPr>
        <w:pStyle w:val="6"/>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w:t>
      </w:r>
      <w:r>
        <w:rPr>
          <w:rFonts w:hint="eastAsia" w:ascii="宋体" w:hAnsi="宋体" w:cs="宋体"/>
          <w:b w:val="0"/>
          <w:bCs/>
          <w:sz w:val="28"/>
          <w:szCs w:val="28"/>
          <w:lang w:val="en-US" w:eastAsia="zh-CN"/>
        </w:rPr>
        <w:t>包一或包二、</w:t>
      </w:r>
      <w:r>
        <w:rPr>
          <w:rFonts w:ascii="宋体" w:hAnsi="宋体" w:cs="宋体"/>
          <w:b w:val="0"/>
          <w:bCs/>
          <w:sz w:val="28"/>
          <w:szCs w:val="28"/>
        </w:rPr>
        <w:t>正本或副本，如果正本与副本不符，则以正本为</w:t>
      </w:r>
      <w:r>
        <w:rPr>
          <w:rFonts w:hint="eastAsia" w:ascii="宋体" w:hAnsi="宋体" w:cs="宋体"/>
          <w:b w:val="0"/>
          <w:bCs/>
          <w:sz w:val="28"/>
          <w:szCs w:val="28"/>
          <w:lang w:val="en-US" w:eastAsia="zh-CN"/>
        </w:rPr>
        <w:t>准。</w:t>
      </w:r>
    </w:p>
    <w:p w14:paraId="0A33CAB9">
      <w:pPr>
        <w:pStyle w:val="6"/>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2、响应文件须包含详细目录，按章节标注页码，并与文件内容一致。未提供目录或目录与内容不符的，可能导致无效响应。</w:t>
      </w:r>
    </w:p>
    <w:p w14:paraId="1247ECFA">
      <w:pPr>
        <w:pStyle w:val="6"/>
        <w:ind w:left="0" w:leftChars="0" w:firstLine="0" w:firstLineChars="0"/>
        <w:rPr>
          <w:rFonts w:hint="default" w:ascii="宋体" w:hAnsi="宋体" w:cs="宋体"/>
          <w:b/>
          <w:bCs/>
          <w:sz w:val="28"/>
          <w:szCs w:val="28"/>
          <w:lang w:val="en-US" w:eastAsia="zh-CN"/>
        </w:rPr>
      </w:pPr>
    </w:p>
    <w:p w14:paraId="0E9C3D4F">
      <w:pPr>
        <w:pStyle w:val="6"/>
        <w:ind w:left="0" w:leftChars="0" w:firstLine="0" w:firstLineChars="0"/>
        <w:rPr>
          <w:rFonts w:hint="eastAsia" w:ascii="宋体" w:hAnsi="宋体" w:cs="宋体"/>
          <w:b/>
          <w:bCs/>
          <w:sz w:val="28"/>
          <w:szCs w:val="28"/>
          <w:lang w:val="en-US" w:eastAsia="zh-CN"/>
        </w:rPr>
      </w:pPr>
    </w:p>
    <w:p w14:paraId="5CFBABDF">
      <w:pPr>
        <w:rPr>
          <w:rFonts w:hint="eastAsia" w:ascii="宋体" w:hAnsi="宋体" w:cs="宋体"/>
          <w:b/>
          <w:bCs/>
          <w:sz w:val="28"/>
          <w:szCs w:val="28"/>
          <w:lang w:val="en-US" w:eastAsia="zh-CN"/>
        </w:rPr>
      </w:pPr>
    </w:p>
    <w:p w14:paraId="39DB9FD6">
      <w:pPr>
        <w:pStyle w:val="6"/>
        <w:rPr>
          <w:rFonts w:hint="eastAsia" w:ascii="宋体" w:hAnsi="宋体" w:cs="宋体"/>
          <w:b/>
          <w:bCs/>
          <w:sz w:val="28"/>
          <w:szCs w:val="28"/>
          <w:lang w:val="en-US" w:eastAsia="zh-CN"/>
        </w:rPr>
      </w:pPr>
    </w:p>
    <w:p w14:paraId="3825F797">
      <w:pPr>
        <w:pStyle w:val="6"/>
        <w:ind w:left="0" w:leftChars="0" w:firstLine="0" w:firstLineChars="0"/>
        <w:rPr>
          <w:rFonts w:hint="eastAsia"/>
          <w:lang w:val="en-US" w:eastAsia="zh-CN"/>
        </w:rPr>
      </w:pPr>
    </w:p>
    <w:p w14:paraId="1D52886F">
      <w:pPr>
        <w:pStyle w:val="6"/>
        <w:ind w:left="0" w:leftChars="0" w:firstLine="0" w:firstLineChars="0"/>
        <w:rPr>
          <w:rFonts w:hint="eastAsia" w:ascii="宋体" w:hAnsi="宋体" w:cs="宋体"/>
          <w:b/>
          <w:bCs/>
          <w:sz w:val="28"/>
          <w:szCs w:val="28"/>
          <w:lang w:val="en-US" w:eastAsia="zh-CN"/>
        </w:rPr>
      </w:pPr>
    </w:p>
    <w:p w14:paraId="08D237FE">
      <w:pPr>
        <w:pStyle w:val="6"/>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2"/>
        <w:spacing w:line="420" w:lineRule="exact"/>
        <w:rPr>
          <w:rFonts w:hint="eastAsia" w:ascii="宋体" w:hAnsi="宋体" w:eastAsia="宋体" w:cs="宋体"/>
          <w:szCs w:val="24"/>
        </w:rPr>
      </w:pPr>
    </w:p>
    <w:p w14:paraId="61224B4D">
      <w:pPr>
        <w:pStyle w:val="2"/>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6"/>
        <w:rPr>
          <w:rFonts w:hint="eastAsia" w:ascii="黑体" w:hAnsi="黑体" w:eastAsia="黑体" w:cs="黑体"/>
          <w:b/>
          <w:bCs/>
          <w:sz w:val="21"/>
          <w:szCs w:val="21"/>
          <w:lang w:val="en-US" w:eastAsia="zh-CN"/>
        </w:rPr>
      </w:pPr>
    </w:p>
    <w:p w14:paraId="7241A128">
      <w:pPr>
        <w:pStyle w:val="5"/>
        <w:rPr>
          <w:rFonts w:hint="eastAsia" w:ascii="黑体" w:hAnsi="黑体" w:eastAsia="黑体" w:cs="黑体"/>
          <w:b/>
          <w:bCs/>
          <w:sz w:val="21"/>
          <w:szCs w:val="21"/>
          <w:lang w:val="en-US" w:eastAsia="zh-CN"/>
        </w:rPr>
      </w:pPr>
    </w:p>
    <w:p w14:paraId="6016E572">
      <w:pPr>
        <w:pStyle w:val="5"/>
        <w:rPr>
          <w:rFonts w:hint="eastAsia" w:ascii="黑体" w:hAnsi="黑体" w:eastAsia="黑体" w:cs="黑体"/>
          <w:b/>
          <w:bCs/>
          <w:sz w:val="21"/>
          <w:szCs w:val="21"/>
          <w:lang w:val="en-US" w:eastAsia="zh-CN"/>
        </w:rPr>
      </w:pPr>
    </w:p>
    <w:p w14:paraId="0BF81F3B">
      <w:pPr>
        <w:pStyle w:val="5"/>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6"/>
        <w:rPr>
          <w:rFonts w:hint="eastAsia"/>
          <w:lang w:val="en-US" w:eastAsia="zh-CN"/>
        </w:rPr>
      </w:pPr>
    </w:p>
    <w:p w14:paraId="7826616D">
      <w:pPr>
        <w:rPr>
          <w:rFonts w:hint="eastAsia"/>
          <w:lang w:val="en-US" w:eastAsia="zh-CN"/>
        </w:rPr>
      </w:pPr>
    </w:p>
    <w:p w14:paraId="6A541FB1">
      <w:pPr>
        <w:pStyle w:val="6"/>
        <w:rPr>
          <w:rFonts w:hint="eastAsia"/>
          <w:lang w:val="en-US" w:eastAsia="zh-CN"/>
        </w:rPr>
      </w:pPr>
    </w:p>
    <w:p w14:paraId="423AF881">
      <w:pPr>
        <w:rPr>
          <w:rFonts w:hint="eastAsia"/>
          <w:b/>
          <w:sz w:val="28"/>
          <w:szCs w:val="28"/>
        </w:rPr>
      </w:pPr>
      <w:r>
        <w:rPr>
          <w:rFonts w:hint="eastAsia"/>
          <w:b/>
          <w:sz w:val="28"/>
          <w:szCs w:val="28"/>
        </w:rPr>
        <w:t>附件：</w:t>
      </w:r>
    </w:p>
    <w:p w14:paraId="335BA9BF">
      <w:pPr>
        <w:pStyle w:val="4"/>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4"/>
        <w:spacing w:line="440" w:lineRule="exact"/>
        <w:rPr>
          <w:rFonts w:ascii="Times New Roman" w:hAnsi="Times New Roman"/>
        </w:rPr>
      </w:pPr>
      <w:bookmarkStart w:id="0" w:name="_Toc278275153"/>
    </w:p>
    <w:p w14:paraId="72E0383B">
      <w:pPr>
        <w:pStyle w:val="4"/>
        <w:spacing w:line="440" w:lineRule="exact"/>
        <w:rPr>
          <w:rFonts w:ascii="Times New Roman" w:hAnsi="Times New Roman"/>
          <w:sz w:val="24"/>
          <w:szCs w:val="24"/>
        </w:rPr>
      </w:pPr>
      <w:r>
        <w:rPr>
          <w:rFonts w:ascii="Times New Roman" w:hAnsi="宋体"/>
          <w:sz w:val="24"/>
          <w:szCs w:val="24"/>
        </w:rPr>
        <w:t>供应商名称：</w:t>
      </w:r>
      <w:bookmarkEnd w:id="0"/>
      <w:r>
        <w:rPr>
          <w:rFonts w:ascii="Times New Roman" w:hAnsi="Times New Roman"/>
          <w:sz w:val="24"/>
          <w:szCs w:val="24"/>
          <w:u w:val="single"/>
        </w:rPr>
        <w:t xml:space="preserve">                      </w:t>
      </w:r>
    </w:p>
    <w:p w14:paraId="50C7F99C">
      <w:pPr>
        <w:pStyle w:val="4"/>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4"/>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4"/>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4"/>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4"/>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4"/>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4"/>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4"/>
        <w:jc w:val="center"/>
        <w:rPr>
          <w:rFonts w:hint="eastAsia" w:hAnsi="宋体"/>
          <w:b/>
          <w:sz w:val="24"/>
        </w:rPr>
      </w:pPr>
    </w:p>
    <w:p w14:paraId="4D9A58D1">
      <w:pPr>
        <w:pStyle w:val="4"/>
        <w:jc w:val="center"/>
        <w:rPr>
          <w:rFonts w:hint="eastAsia" w:hAnsi="宋体"/>
          <w:b/>
          <w:sz w:val="24"/>
        </w:rPr>
      </w:pPr>
    </w:p>
    <w:p w14:paraId="39694732">
      <w:pPr>
        <w:pStyle w:val="4"/>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4"/>
        <w:rPr>
          <w:rFonts w:ascii="Times New Roman" w:hAnsi="Times New Roman"/>
          <w:sz w:val="24"/>
          <w:szCs w:val="24"/>
        </w:rPr>
      </w:pPr>
    </w:p>
    <w:p w14:paraId="1C084CE7">
      <w:pPr>
        <w:pStyle w:val="4"/>
        <w:rPr>
          <w:rFonts w:ascii="Times New Roman" w:hAnsi="Times New Roman"/>
          <w:sz w:val="24"/>
          <w:szCs w:val="24"/>
        </w:rPr>
      </w:pPr>
    </w:p>
    <w:p w14:paraId="2ACA5099">
      <w:pPr>
        <w:pStyle w:val="4"/>
        <w:rPr>
          <w:rFonts w:ascii="Times New Roman" w:hAnsi="Times New Roman"/>
          <w:sz w:val="24"/>
          <w:szCs w:val="24"/>
        </w:rPr>
      </w:pPr>
    </w:p>
    <w:p w14:paraId="1AF949D1">
      <w:pPr>
        <w:pStyle w:val="4"/>
        <w:rPr>
          <w:rFonts w:ascii="Times New Roman" w:hAnsi="Times New Roman"/>
          <w:sz w:val="24"/>
          <w:szCs w:val="24"/>
        </w:rPr>
      </w:pPr>
    </w:p>
    <w:p w14:paraId="6F094EFD">
      <w:pPr>
        <w:pStyle w:val="4"/>
        <w:rPr>
          <w:rFonts w:ascii="Times New Roman" w:hAnsi="Times New Roman"/>
          <w:sz w:val="24"/>
          <w:szCs w:val="24"/>
        </w:rPr>
      </w:pPr>
    </w:p>
    <w:p w14:paraId="753AEF44">
      <w:pPr>
        <w:pStyle w:val="4"/>
        <w:rPr>
          <w:rFonts w:ascii="Times New Roman" w:hAnsi="Times New Roman"/>
          <w:sz w:val="24"/>
          <w:szCs w:val="24"/>
        </w:rPr>
      </w:pPr>
    </w:p>
    <w:p w14:paraId="5B9F63E7">
      <w:pPr>
        <w:pStyle w:val="4"/>
        <w:rPr>
          <w:rFonts w:ascii="Times New Roman" w:hAnsi="Times New Roman"/>
          <w:sz w:val="24"/>
          <w:szCs w:val="24"/>
        </w:rPr>
      </w:pPr>
    </w:p>
    <w:p w14:paraId="6854109E">
      <w:pPr>
        <w:pStyle w:val="4"/>
        <w:rPr>
          <w:rFonts w:ascii="Times New Roman" w:hAnsi="Times New Roman"/>
          <w:sz w:val="24"/>
          <w:szCs w:val="24"/>
        </w:rPr>
      </w:pPr>
    </w:p>
    <w:p w14:paraId="3777FDB2">
      <w:pPr>
        <w:pStyle w:val="4"/>
        <w:rPr>
          <w:rFonts w:ascii="Times New Roman" w:hAnsi="Times New Roman"/>
          <w:sz w:val="24"/>
          <w:szCs w:val="24"/>
        </w:rPr>
      </w:pPr>
    </w:p>
    <w:p w14:paraId="65BF41F7">
      <w:pPr>
        <w:pStyle w:val="4"/>
        <w:rPr>
          <w:rFonts w:ascii="Times New Roman" w:hAnsi="Times New Roman"/>
          <w:sz w:val="24"/>
          <w:szCs w:val="24"/>
        </w:rPr>
      </w:pPr>
    </w:p>
    <w:p w14:paraId="7C43800B">
      <w:pPr>
        <w:pStyle w:val="4"/>
        <w:rPr>
          <w:rFonts w:ascii="Times New Roman" w:hAnsi="Times New Roman"/>
          <w:sz w:val="24"/>
          <w:szCs w:val="24"/>
        </w:rPr>
      </w:pPr>
    </w:p>
    <w:p w14:paraId="2CC2555D">
      <w:pPr>
        <w:pStyle w:val="4"/>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4"/>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4"/>
        <w:rPr>
          <w:rFonts w:hint="eastAsia" w:ascii="Times New Roman" w:hAnsi="Times New Roman"/>
        </w:rPr>
      </w:pPr>
      <w:r>
        <w:rPr>
          <w:rFonts w:ascii="Times New Roman" w:hAnsi="Times New Roman"/>
        </w:rPr>
        <w:cr/>
      </w:r>
    </w:p>
    <w:p w14:paraId="7C520785">
      <w:pPr>
        <w:pStyle w:val="4"/>
        <w:rPr>
          <w:rFonts w:hint="eastAsia" w:ascii="Times New Roman" w:hAnsi="Times New Roman"/>
        </w:rPr>
      </w:pPr>
    </w:p>
    <w:p w14:paraId="31228E58">
      <w:pPr>
        <w:pStyle w:val="4"/>
        <w:rPr>
          <w:rFonts w:hint="eastAsia" w:ascii="Times New Roman" w:hAnsi="Times New Roman"/>
        </w:rPr>
      </w:pPr>
    </w:p>
    <w:p w14:paraId="08C3D408">
      <w:pPr>
        <w:pStyle w:val="4"/>
        <w:rPr>
          <w:rFonts w:hint="eastAsia" w:ascii="Times New Roman" w:hAnsi="Times New Roman"/>
        </w:rPr>
      </w:pPr>
    </w:p>
    <w:p w14:paraId="27ECB0A5">
      <w:pPr>
        <w:pStyle w:val="4"/>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6"/>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6"/>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6"/>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295"/>
        <w:gridCol w:w="5566"/>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0"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1708DCE2">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3213" w:type="pct"/>
            <w:tcBorders>
              <w:top w:val="single" w:color="auto" w:sz="4" w:space="0"/>
              <w:left w:val="single" w:color="auto" w:sz="4" w:space="0"/>
              <w:bottom w:val="single" w:color="auto" w:sz="4" w:space="0"/>
              <w:right w:val="single" w:color="auto" w:sz="4" w:space="0"/>
            </w:tcBorders>
            <w:noWrap w:val="0"/>
            <w:vAlign w:val="bottom"/>
          </w:tcPr>
          <w:p w14:paraId="6953045C">
            <w:pPr>
              <w:rPr>
                <w:rFonts w:hint="eastAsia" w:ascii="宋体" w:hAnsi="宋体"/>
                <w:bCs/>
                <w:sz w:val="24"/>
                <w:szCs w:val="24"/>
              </w:rPr>
            </w:pPr>
            <w:r>
              <w:rPr>
                <w:rFonts w:hint="eastAsia" w:ascii="宋体" w:hAnsi="宋体"/>
                <w:bCs/>
                <w:sz w:val="24"/>
                <w:szCs w:val="24"/>
              </w:rPr>
              <w:t>大写：</w:t>
            </w:r>
          </w:p>
          <w:p w14:paraId="5A429BDE">
            <w:pPr>
              <w:pStyle w:val="10"/>
              <w:ind w:firstLine="480"/>
              <w:rPr>
                <w:rFonts w:hint="eastAsia"/>
                <w:bCs/>
                <w:sz w:val="24"/>
                <w:szCs w:val="24"/>
              </w:rPr>
            </w:pPr>
          </w:p>
          <w:p w14:paraId="20205BAF">
            <w:pPr>
              <w:tabs>
                <w:tab w:val="left" w:pos="1337"/>
              </w:tabs>
              <w:spacing w:line="276" w:lineRule="auto"/>
              <w:rPr>
                <w:rFonts w:hint="eastAsia" w:ascii="宋体" w:hAnsi="宋体"/>
                <w:bCs/>
                <w:sz w:val="24"/>
                <w:szCs w:val="24"/>
              </w:rPr>
            </w:pPr>
            <w:r>
              <w:rPr>
                <w:rFonts w:hint="eastAsia" w:ascii="宋体" w:hAnsi="宋体"/>
                <w:bCs/>
                <w:sz w:val="24"/>
                <w:szCs w:val="24"/>
              </w:rPr>
              <w:t>小写：</w:t>
            </w:r>
          </w:p>
          <w:p w14:paraId="64F2BFD9">
            <w:pPr>
              <w:tabs>
                <w:tab w:val="left" w:pos="1337"/>
              </w:tabs>
              <w:spacing w:line="276" w:lineRule="auto"/>
              <w:rPr>
                <w:rFonts w:hint="eastAsia" w:ascii="宋体" w:hAnsi="宋体"/>
                <w:bCs/>
                <w:sz w:val="24"/>
                <w:szCs w:val="24"/>
                <w:lang w:val="en-US" w:eastAsia="zh-CN"/>
              </w:rPr>
            </w:pP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交货</w:t>
            </w:r>
            <w:r>
              <w:rPr>
                <w:rFonts w:hint="eastAsia" w:ascii="宋体" w:hAnsi="宋体"/>
                <w:sz w:val="24"/>
                <w:szCs w:val="24"/>
              </w:rPr>
              <w:t>期：</w:t>
            </w:r>
            <w:r>
              <w:rPr>
                <w:rFonts w:ascii="宋体" w:hAnsi="宋体"/>
                <w:b/>
                <w:sz w:val="24"/>
                <w:szCs w:val="24"/>
              </w:rPr>
              <w:t xml:space="preserve"> </w:t>
            </w:r>
          </w:p>
        </w:tc>
      </w:tr>
      <w:tr w14:paraId="1E670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BC4CE7">
            <w:pPr>
              <w:keepNext w:val="0"/>
              <w:keepLines w:val="0"/>
              <w:pageBreakBefore w:val="0"/>
              <w:kinsoku/>
              <w:wordWrap/>
              <w:overflowPunct/>
              <w:topLinePunct w:val="0"/>
              <w:autoSpaceDE/>
              <w:autoSpaceDN/>
              <w:bidi w:val="0"/>
              <w:spacing w:line="240" w:lineRule="auto"/>
              <w:jc w:val="center"/>
              <w:rPr>
                <w:rFonts w:hint="eastAsia" w:ascii="宋体" w:hAnsi="宋体" w:eastAsia="宋体"/>
                <w:b/>
                <w:sz w:val="24"/>
                <w:szCs w:val="24"/>
                <w:lang w:val="en-US" w:eastAsia="zh-CN"/>
              </w:rPr>
            </w:pPr>
            <w:r>
              <w:rPr>
                <w:rFonts w:hint="eastAsia" w:ascii="宋体" w:hAnsi="宋体"/>
                <w:b/>
                <w:sz w:val="24"/>
                <w:szCs w:val="24"/>
                <w:lang w:val="en-US" w:eastAsia="zh-CN"/>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64B208EC">
            <w:pPr>
              <w:keepNext w:val="0"/>
              <w:keepLines w:val="0"/>
              <w:pageBreakBefore w:val="0"/>
              <w:kinsoku/>
              <w:wordWrap/>
              <w:overflowPunct/>
              <w:topLinePunct w:val="0"/>
              <w:autoSpaceDE/>
              <w:autoSpaceDN/>
              <w:bidi w:val="0"/>
              <w:spacing w:line="240" w:lineRule="auto"/>
              <w:rPr>
                <w:rFonts w:hint="eastAsia" w:ascii="宋体" w:hAnsi="宋体"/>
                <w:sz w:val="24"/>
                <w:szCs w:val="24"/>
                <w:lang w:val="en-US" w:eastAsia="zh-CN"/>
              </w:rPr>
            </w:pPr>
            <w:r>
              <w:rPr>
                <w:rFonts w:hint="eastAsia" w:ascii="宋体" w:hAnsi="宋体"/>
                <w:sz w:val="24"/>
                <w:szCs w:val="24"/>
              </w:rPr>
              <w:t>质保期：</w:t>
            </w:r>
            <w:r>
              <w:rPr>
                <w:rFonts w:hint="eastAsia" w:ascii="宋体" w:hAnsi="宋体"/>
                <w:sz w:val="24"/>
                <w:szCs w:val="24"/>
                <w:u w:val="single"/>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eastAsia="宋体"/>
                <w:b/>
                <w:sz w:val="24"/>
                <w:szCs w:val="24"/>
                <w:lang w:eastAsia="zh-CN"/>
              </w:rPr>
            </w:pPr>
            <w:r>
              <w:rPr>
                <w:rFonts w:hint="eastAsia" w:ascii="宋体" w:hAnsi="宋体"/>
                <w:b/>
                <w:sz w:val="24"/>
                <w:szCs w:val="24"/>
                <w:lang w:val="en-US" w:eastAsia="zh-CN"/>
              </w:rPr>
              <w:t>6</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6"/>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6"/>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6"/>
        <w:ind w:left="0" w:leftChars="0" w:firstLine="0" w:firstLineChars="0"/>
        <w:rPr>
          <w:rFonts w:hint="eastAsia" w:ascii="宋体" w:hAnsi="宋体" w:cs="宋体"/>
          <w:sz w:val="28"/>
          <w:szCs w:val="28"/>
          <w:lang w:val="en-US" w:eastAsia="zh-CN"/>
        </w:rPr>
      </w:pPr>
    </w:p>
    <w:p w14:paraId="43E4138B">
      <w:pPr>
        <w:pStyle w:val="5"/>
        <w:ind w:left="0" w:leftChars="0" w:firstLine="0" w:firstLineChars="0"/>
        <w:jc w:val="left"/>
        <w:rPr>
          <w:rFonts w:hint="eastAsia" w:ascii="仿宋_GB2312" w:hAnsi="仿宋_GB2312" w:eastAsia="仿宋_GB2312" w:cs="仿宋_GB2312"/>
          <w:color w:val="auto"/>
          <w:sz w:val="32"/>
          <w:szCs w:val="32"/>
          <w:highlight w:val="none"/>
          <w:lang w:val="en-US" w:eastAsia="zh-CN"/>
        </w:rPr>
      </w:pPr>
    </w:p>
    <w:p w14:paraId="6108309C">
      <w:pPr>
        <w:pStyle w:val="5"/>
        <w:jc w:val="left"/>
        <w:rPr>
          <w:rFonts w:hint="eastAsia" w:ascii="仿宋_GB2312" w:hAnsi="仿宋_GB2312" w:eastAsia="仿宋_GB2312" w:cs="仿宋_GB2312"/>
          <w:color w:val="auto"/>
          <w:sz w:val="32"/>
          <w:szCs w:val="32"/>
          <w:highlight w:val="none"/>
          <w:lang w:val="en-US" w:eastAsia="zh-CN"/>
        </w:rPr>
      </w:pPr>
    </w:p>
    <w:p w14:paraId="3A048DB0">
      <w:pPr>
        <w:pStyle w:val="5"/>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477C944C">
      <w:pPr>
        <w:spacing w:line="360" w:lineRule="auto"/>
        <w:jc w:val="both"/>
        <w:rPr>
          <w:rFonts w:hint="eastAsia" w:ascii="宋体" w:hAnsi="宋体" w:cs="宋体"/>
          <w:b/>
          <w:bCs/>
          <w:sz w:val="28"/>
          <w:szCs w:val="28"/>
          <w:lang w:val="en-US" w:eastAsia="zh-CN"/>
        </w:rPr>
      </w:pPr>
    </w:p>
    <w:p w14:paraId="261DD0C5"/>
    <w:p w14:paraId="23551BD6">
      <w:pPr>
        <w:pStyle w:val="6"/>
      </w:pPr>
    </w:p>
    <w:p w14:paraId="3537BF16">
      <w:pPr>
        <w:pStyle w:val="5"/>
        <w:ind w:left="0" w:leftChars="0" w:firstLine="0" w:firstLineChars="0"/>
        <w:jc w:val="both"/>
      </w:pPr>
    </w:p>
    <w:p w14:paraId="44CF77A6">
      <w:pPr>
        <w:pStyle w:val="5"/>
      </w:pPr>
    </w:p>
    <w:p w14:paraId="393D5954">
      <w:pPr>
        <w:pStyle w:val="5"/>
      </w:pPr>
    </w:p>
    <w:p w14:paraId="6733C41A">
      <w:pPr>
        <w:pStyle w:val="5"/>
      </w:pPr>
    </w:p>
    <w:p w14:paraId="0F239741">
      <w:pPr>
        <w:spacing w:line="480" w:lineRule="exact"/>
        <w:rPr>
          <w:b/>
          <w:sz w:val="24"/>
        </w:rPr>
      </w:pPr>
      <w:r>
        <w:rPr>
          <w:b/>
          <w:sz w:val="24"/>
        </w:rPr>
        <w:t>附件：</w:t>
      </w:r>
    </w:p>
    <w:p w14:paraId="6E733128">
      <w:pPr>
        <w:spacing w:line="360" w:lineRule="auto"/>
        <w:ind w:left="-540" w:leftChars="-257" w:firstLine="964" w:firstLineChars="300"/>
        <w:jc w:val="center"/>
        <w:rPr>
          <w:rFonts w:hint="eastAsia"/>
          <w:b/>
          <w:sz w:val="32"/>
          <w:szCs w:val="32"/>
        </w:rPr>
      </w:pPr>
      <w:r>
        <w:rPr>
          <w:rFonts w:hint="eastAsia"/>
          <w:b/>
          <w:sz w:val="32"/>
          <w:szCs w:val="32"/>
        </w:rPr>
        <w:t>资格审查表</w:t>
      </w:r>
    </w:p>
    <w:p w14:paraId="6FCE2C51">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FE4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05813D6C">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40607E37">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231356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2C8A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232E28C5">
            <w:pPr>
              <w:spacing w:line="276" w:lineRule="auto"/>
              <w:jc w:val="center"/>
              <w:rPr>
                <w:rFonts w:hint="eastAsia" w:ascii="宋体" w:hAnsi="宋体" w:cs="宋体"/>
                <w:b/>
                <w:sz w:val="24"/>
                <w:szCs w:val="24"/>
              </w:rPr>
            </w:pPr>
          </w:p>
        </w:tc>
        <w:tc>
          <w:tcPr>
            <w:tcW w:w="1397" w:type="dxa"/>
            <w:vMerge w:val="continue"/>
            <w:noWrap w:val="0"/>
            <w:vAlign w:val="center"/>
          </w:tcPr>
          <w:p w14:paraId="215AC231">
            <w:pPr>
              <w:spacing w:line="276" w:lineRule="auto"/>
              <w:jc w:val="center"/>
              <w:rPr>
                <w:rFonts w:hint="eastAsia" w:ascii="宋体" w:hAnsi="宋体" w:cs="宋体"/>
                <w:b/>
                <w:sz w:val="24"/>
                <w:szCs w:val="24"/>
              </w:rPr>
            </w:pPr>
          </w:p>
        </w:tc>
        <w:tc>
          <w:tcPr>
            <w:tcW w:w="759" w:type="dxa"/>
            <w:noWrap w:val="0"/>
            <w:vAlign w:val="center"/>
          </w:tcPr>
          <w:p w14:paraId="37C87308">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7AAC3959">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F50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0944E51B">
            <w:pPr>
              <w:numPr>
                <w:ilvl w:val="0"/>
                <w:numId w:val="4"/>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54E674A7">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FBBC712">
            <w:pPr>
              <w:spacing w:line="276" w:lineRule="auto"/>
              <w:rPr>
                <w:rFonts w:hint="eastAsia" w:ascii="宋体" w:hAnsi="宋体" w:cs="宋体"/>
                <w:sz w:val="24"/>
                <w:szCs w:val="24"/>
              </w:rPr>
            </w:pPr>
          </w:p>
        </w:tc>
        <w:tc>
          <w:tcPr>
            <w:tcW w:w="765" w:type="dxa"/>
            <w:noWrap w:val="0"/>
            <w:vAlign w:val="center"/>
          </w:tcPr>
          <w:p w14:paraId="1ED49C6F">
            <w:pPr>
              <w:spacing w:line="276" w:lineRule="auto"/>
              <w:rPr>
                <w:rFonts w:hint="eastAsia" w:ascii="宋体" w:hAnsi="宋体" w:cs="宋体"/>
                <w:sz w:val="24"/>
                <w:szCs w:val="24"/>
              </w:rPr>
            </w:pPr>
          </w:p>
        </w:tc>
      </w:tr>
      <w:tr w14:paraId="65C2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785492B6">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、法定代表人身份证明、身份证复印件、法定代表人的授权委托书及委托代理人的身份证；若法定代表人参加，仅提供法定代表人身份证明及身份证复印件（格式见附件）；</w:t>
            </w:r>
          </w:p>
        </w:tc>
        <w:tc>
          <w:tcPr>
            <w:tcW w:w="1397" w:type="dxa"/>
            <w:noWrap w:val="0"/>
            <w:vAlign w:val="center"/>
          </w:tcPr>
          <w:p w14:paraId="32B8E6B1">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903F055">
            <w:pPr>
              <w:spacing w:line="276" w:lineRule="auto"/>
              <w:rPr>
                <w:rFonts w:hint="eastAsia" w:ascii="宋体" w:hAnsi="宋体" w:cs="宋体"/>
                <w:sz w:val="24"/>
                <w:szCs w:val="24"/>
              </w:rPr>
            </w:pPr>
          </w:p>
        </w:tc>
        <w:tc>
          <w:tcPr>
            <w:tcW w:w="765" w:type="dxa"/>
            <w:noWrap w:val="0"/>
            <w:vAlign w:val="center"/>
          </w:tcPr>
          <w:p w14:paraId="2A2D47CE">
            <w:pPr>
              <w:spacing w:line="276" w:lineRule="auto"/>
              <w:rPr>
                <w:rFonts w:hint="eastAsia" w:ascii="宋体" w:hAnsi="宋体" w:cs="宋体"/>
                <w:sz w:val="24"/>
                <w:szCs w:val="24"/>
              </w:rPr>
            </w:pPr>
          </w:p>
        </w:tc>
      </w:tr>
      <w:tr w14:paraId="5CCE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49A4E868">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p>
        </w:tc>
        <w:tc>
          <w:tcPr>
            <w:tcW w:w="1397" w:type="dxa"/>
            <w:noWrap w:val="0"/>
            <w:vAlign w:val="center"/>
          </w:tcPr>
          <w:p w14:paraId="759E0296">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66FF1B8">
            <w:pPr>
              <w:spacing w:line="276" w:lineRule="auto"/>
              <w:rPr>
                <w:rFonts w:hint="eastAsia" w:ascii="宋体" w:hAnsi="宋体" w:cs="宋体"/>
                <w:sz w:val="24"/>
                <w:szCs w:val="24"/>
              </w:rPr>
            </w:pPr>
          </w:p>
        </w:tc>
        <w:tc>
          <w:tcPr>
            <w:tcW w:w="765" w:type="dxa"/>
            <w:noWrap w:val="0"/>
            <w:vAlign w:val="center"/>
          </w:tcPr>
          <w:p w14:paraId="42C67F1E">
            <w:pPr>
              <w:spacing w:line="276" w:lineRule="auto"/>
              <w:rPr>
                <w:rFonts w:hint="eastAsia" w:ascii="宋体" w:hAnsi="宋体" w:cs="宋体"/>
                <w:sz w:val="24"/>
                <w:szCs w:val="24"/>
              </w:rPr>
            </w:pPr>
          </w:p>
        </w:tc>
      </w:tr>
      <w:tr w14:paraId="58D1C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2D04EDD0">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AA76E1E">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生产商的医疗器械注册证（第一类医疗器械需提供医疗器械备案信息表）、生产商的医疗器械生产许可证（第一类医疗器械需提供医疗器械生产备案凭证）、生产商的授权书、代理商的医疗器械经营许可证（第一类医疗器械无需提供、第二类医疗器械需提供医疗器械经营许可证或医疗器械经营备案凭证）。</w:t>
            </w:r>
          </w:p>
          <w:p w14:paraId="4F3A19FA">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49C07542">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6A2244">
            <w:pPr>
              <w:spacing w:line="276" w:lineRule="auto"/>
              <w:rPr>
                <w:rFonts w:hint="eastAsia" w:ascii="宋体" w:hAnsi="宋体" w:cs="宋体"/>
                <w:sz w:val="24"/>
                <w:szCs w:val="24"/>
              </w:rPr>
            </w:pPr>
          </w:p>
        </w:tc>
        <w:tc>
          <w:tcPr>
            <w:tcW w:w="765" w:type="dxa"/>
            <w:noWrap w:val="0"/>
            <w:vAlign w:val="center"/>
          </w:tcPr>
          <w:p w14:paraId="0F35BF39">
            <w:pPr>
              <w:spacing w:line="276" w:lineRule="auto"/>
              <w:rPr>
                <w:rFonts w:hint="eastAsia" w:ascii="宋体" w:hAnsi="宋体" w:cs="宋体"/>
                <w:sz w:val="24"/>
                <w:szCs w:val="24"/>
              </w:rPr>
            </w:pPr>
          </w:p>
        </w:tc>
      </w:tr>
      <w:tr w14:paraId="3512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556417BB">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0A0544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BCCE007">
            <w:pPr>
              <w:spacing w:line="276" w:lineRule="auto"/>
              <w:jc w:val="both"/>
              <w:rPr>
                <w:rFonts w:hint="eastAsia" w:ascii="宋体" w:hAnsi="宋体" w:cs="宋体"/>
                <w:sz w:val="24"/>
                <w:szCs w:val="24"/>
              </w:rPr>
            </w:pPr>
          </w:p>
        </w:tc>
        <w:tc>
          <w:tcPr>
            <w:tcW w:w="765" w:type="dxa"/>
            <w:noWrap w:val="0"/>
            <w:vAlign w:val="center"/>
          </w:tcPr>
          <w:p w14:paraId="4D4CAEA3">
            <w:pPr>
              <w:spacing w:line="276" w:lineRule="auto"/>
              <w:jc w:val="both"/>
              <w:rPr>
                <w:rFonts w:hint="eastAsia" w:ascii="宋体" w:hAnsi="宋体" w:cs="宋体"/>
                <w:sz w:val="24"/>
                <w:szCs w:val="24"/>
              </w:rPr>
            </w:pPr>
          </w:p>
        </w:tc>
      </w:tr>
      <w:tr w14:paraId="26B9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3E8E1969">
            <w:pPr>
              <w:spacing w:line="276" w:lineRule="auto"/>
              <w:jc w:val="both"/>
              <w:rPr>
                <w:rFonts w:hint="eastAsia"/>
              </w:rPr>
            </w:pPr>
            <w:r>
              <w:rPr>
                <w:rFonts w:hint="eastAsia" w:ascii="宋体" w:hAnsi="宋体" w:cs="宋体"/>
                <w:sz w:val="24"/>
                <w:szCs w:val="24"/>
              </w:rPr>
              <w:t>核验人：</w:t>
            </w:r>
          </w:p>
        </w:tc>
      </w:tr>
    </w:tbl>
    <w:p w14:paraId="2058C697">
      <w:pPr>
        <w:pStyle w:val="5"/>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abstractNum w:abstractNumId="1">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91CF59C"/>
    <w:multiLevelType w:val="singleLevel"/>
    <w:tmpl w:val="491CF59C"/>
    <w:lvl w:ilvl="0" w:tentative="0">
      <w:start w:val="2"/>
      <w:numFmt w:val="chineseCounting"/>
      <w:suff w:val="nothing"/>
      <w:lvlText w:val="%1、"/>
      <w:lvlJc w:val="left"/>
      <w:rPr>
        <w:rFonts w:hint="eastAsia"/>
      </w:rPr>
    </w:lvl>
  </w:abstractNum>
  <w:abstractNum w:abstractNumId="3">
    <w:nsid w:val="706407FB"/>
    <w:multiLevelType w:val="multilevel"/>
    <w:tmpl w:val="706407FB"/>
    <w:lvl w:ilvl="0" w:tentative="0">
      <w:start w:val="1"/>
      <w:numFmt w:val="decimal"/>
      <w:pStyle w:val="9"/>
      <w:lvlText w:val="%1."/>
      <w:lvlJc w:val="left"/>
      <w:pPr>
        <w:ind w:left="420" w:hanging="420"/>
      </w:pPr>
      <w:rPr>
        <w:rFonts w:hint="eastAsia"/>
      </w:rPr>
    </w:lvl>
    <w:lvl w:ilvl="1" w:tentative="0">
      <w:start w:val="1"/>
      <w:numFmt w:val="decimal"/>
      <w:lvlText w:val="%1.%2"/>
      <w:lvlJc w:val="left"/>
      <w:pPr>
        <w:ind w:left="680" w:hanging="68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593C3B"/>
    <w:rsid w:val="08593C3B"/>
    <w:rsid w:val="14E33954"/>
    <w:rsid w:val="4AE80874"/>
    <w:rsid w:val="5807070D"/>
    <w:rsid w:val="68FB6924"/>
    <w:rsid w:val="789D2F36"/>
    <w:rsid w:val="79F54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楷体_GB2312" w:eastAsia="楷体_GB2312"/>
      <w:b/>
      <w:sz w:val="24"/>
    </w:rPr>
  </w:style>
  <w:style w:type="paragraph" w:styleId="3">
    <w:name w:val="Body Text Indent"/>
    <w:basedOn w:val="1"/>
    <w:next w:val="1"/>
    <w:unhideWhenUsed/>
    <w:qFormat/>
    <w:uiPriority w:val="0"/>
    <w:pPr>
      <w:spacing w:after="120"/>
      <w:ind w:left="420" w:leftChars="200"/>
    </w:pPr>
  </w:style>
  <w:style w:type="paragraph" w:styleId="4">
    <w:name w:val="Plain Text"/>
    <w:basedOn w:val="1"/>
    <w:qFormat/>
    <w:uiPriority w:val="0"/>
    <w:rPr>
      <w:rFonts w:ascii="宋体" w:hAnsi="Courier New"/>
    </w:rPr>
  </w:style>
  <w:style w:type="paragraph" w:styleId="5">
    <w:name w:val="Body Text First Indent"/>
    <w:basedOn w:val="2"/>
    <w:qFormat/>
    <w:uiPriority w:val="0"/>
    <w:pPr>
      <w:ind w:firstLine="420" w:firstLineChars="100"/>
    </w:pPr>
  </w:style>
  <w:style w:type="paragraph" w:styleId="6">
    <w:name w:val="Body Text First Indent 2"/>
    <w:basedOn w:val="3"/>
    <w:next w:val="5"/>
    <w:unhideWhenUsed/>
    <w:qFormat/>
    <w:uiPriority w:val="0"/>
    <w:pPr>
      <w:ind w:firstLine="420" w:firstLineChars="200"/>
    </w:pPr>
  </w:style>
  <w:style w:type="paragraph" w:customStyle="1" w:styleId="9">
    <w:name w:val="@max 1级数字标题"/>
    <w:qFormat/>
    <w:uiPriority w:val="0"/>
    <w:pPr>
      <w:numPr>
        <w:ilvl w:val="0"/>
        <w:numId w:val="1"/>
      </w:numPr>
      <w:spacing w:before="50" w:beforeLines="50" w:after="50" w:afterLines="50"/>
    </w:pPr>
    <w:rPr>
      <w:rFonts w:eastAsia="宋体" w:asciiTheme="minorHAnsi" w:hAnsiTheme="minorHAnsi" w:cstheme="minorBidi"/>
      <w:b/>
      <w:bCs/>
      <w:kern w:val="44"/>
      <w:sz w:val="24"/>
      <w:szCs w:val="44"/>
      <w:lang w:val="en-US" w:eastAsia="zh-CN" w:bidi="ar-SA"/>
    </w:rPr>
  </w:style>
  <w:style w:type="paragraph" w:customStyle="1" w:styleId="10">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5599</Words>
  <Characters>5662</Characters>
  <Lines>0</Lines>
  <Paragraphs>0</Paragraphs>
  <TotalTime>69</TotalTime>
  <ScaleCrop>false</ScaleCrop>
  <LinksUpToDate>false</LinksUpToDate>
  <CharactersWithSpaces>6482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2025-07-24T03:08:00Z</dcterms:created>
  <dc:creator>WPS_1642385853</dc:creator>
  <cp:lastModifiedBy>WPS_1642385853</cp:lastModifiedBy>
  <dcterms:modified xsi:type="dcterms:W3CDTF">2025-08-08T08:15:56Z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45648155D132430C9E517F9EE08850C3_11</vt:lpwstr>
  </property>
  <property fmtid="{D5CDD505-2E9C-101B-9397-08002B2CF9AE}" pid="4" name="KSOTemplateDocerSaveRecord">
    <vt:lpwstr>eyJoZGlkIjoiYWIyNmM1MGE1MTY4YzFjNDAwNWY5NjM4NDg0ZWY0NmYiLCJ1c2VySWQiOiIxMzE3MzE5MzkzIn0=</vt:lpwstr>
  </property>
</Properties>
</file>