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采购项目说明</w:t>
      </w:r>
    </w:p>
    <w:p w14:paraId="3E378566">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一、采购内容</w:t>
      </w:r>
    </w:p>
    <w:p w14:paraId="38F3C985">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检验科血气分析仪及配套耗材采购项目</w:t>
      </w:r>
    </w:p>
    <w:p w14:paraId="4711B4FB">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eastAsia="宋体" w:cs="宋体"/>
          <w:b w:val="0"/>
          <w:bCs w:val="0"/>
          <w:kern w:val="2"/>
          <w:sz w:val="32"/>
          <w:szCs w:val="32"/>
          <w:lang w:val="en-US" w:eastAsia="zh-CN" w:bidi="ar-SA"/>
        </w:rPr>
        <w:t>二、</w:t>
      </w:r>
      <w:r>
        <w:rPr>
          <w:rFonts w:hint="eastAsia" w:ascii="宋体" w:hAnsi="宋体" w:cs="宋体"/>
          <w:b/>
          <w:bCs/>
          <w:kern w:val="2"/>
          <w:sz w:val="32"/>
          <w:szCs w:val="32"/>
          <w:lang w:val="en-US" w:eastAsia="zh-CN" w:bidi="ar-SA"/>
        </w:rPr>
        <w:t>预算价格</w:t>
      </w:r>
    </w:p>
    <w:p w14:paraId="443FDBAA">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设备预算价5万元</w:t>
      </w:r>
    </w:p>
    <w:p w14:paraId="770DAA6B">
      <w:pPr>
        <w:pStyle w:val="9"/>
        <w:keepNext w:val="0"/>
        <w:keepLines w:val="0"/>
        <w:pageBreakBefore w:val="0"/>
        <w:numPr>
          <w:ilvl w:val="0"/>
          <w:numId w:val="0"/>
        </w:numPr>
        <w:kinsoku/>
        <w:wordWrap/>
        <w:overflowPunct/>
        <w:topLinePunct w:val="0"/>
        <w:autoSpaceDE/>
        <w:autoSpaceDN/>
        <w:bidi w:val="0"/>
        <w:adjustRightInd/>
        <w:snapToGrid/>
        <w:spacing w:before="0" w:beforeLines="0" w:after="0" w:afterLines="0" w:line="240" w:lineRule="auto"/>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试剂预算价5万元/年</w:t>
      </w:r>
    </w:p>
    <w:p w14:paraId="18891C0A">
      <w:pPr>
        <w:pStyle w:val="9"/>
        <w:keepNext w:val="0"/>
        <w:keepLines w:val="0"/>
        <w:pageBreakBefore w:val="0"/>
        <w:numPr>
          <w:ilvl w:val="0"/>
          <w:numId w:val="2"/>
        </w:numPr>
        <w:kinsoku/>
        <w:wordWrap/>
        <w:overflowPunct/>
        <w:topLinePunct w:val="0"/>
        <w:autoSpaceDE/>
        <w:autoSpaceDN/>
        <w:bidi w:val="0"/>
        <w:adjustRightInd/>
        <w:snapToGrid/>
        <w:spacing w:before="0" w:beforeLines="0" w:after="0" w:afterLines="0" w:line="240" w:lineRule="auto"/>
        <w:jc w:val="left"/>
        <w:rPr>
          <w:rFonts w:hint="default" w:ascii="宋体" w:hAnsi="宋体" w:eastAsia="宋体" w:cs="宋体"/>
          <w:b/>
          <w:bCs/>
          <w:kern w:val="2"/>
          <w:sz w:val="32"/>
          <w:szCs w:val="32"/>
          <w:lang w:val="en-US" w:eastAsia="zh-CN" w:bidi="ar-SA"/>
        </w:rPr>
      </w:pPr>
      <w:r>
        <w:rPr>
          <w:rFonts w:hint="eastAsia" w:ascii="宋体" w:hAnsi="宋体" w:cs="宋体"/>
          <w:b/>
          <w:bCs/>
          <w:kern w:val="2"/>
          <w:sz w:val="32"/>
          <w:szCs w:val="32"/>
          <w:lang w:val="en-US" w:eastAsia="zh-CN" w:bidi="ar-SA"/>
        </w:rPr>
        <w:t>设备</w:t>
      </w:r>
      <w:r>
        <w:rPr>
          <w:rFonts w:hint="eastAsia" w:ascii="宋体" w:hAnsi="宋体" w:eastAsia="宋体" w:cs="宋体"/>
          <w:b/>
          <w:bCs/>
          <w:kern w:val="2"/>
          <w:sz w:val="32"/>
          <w:szCs w:val="32"/>
          <w:lang w:val="en-US" w:eastAsia="zh-CN" w:bidi="ar-SA"/>
        </w:rPr>
        <w:t>技术参数</w:t>
      </w:r>
      <w:r>
        <w:rPr>
          <w:rFonts w:hint="eastAsia" w:ascii="宋体" w:hAnsi="宋体" w:eastAsia="宋体" w:cs="宋体"/>
          <w:b w:val="0"/>
          <w:bCs w:val="0"/>
          <w:kern w:val="2"/>
          <w:sz w:val="32"/>
          <w:szCs w:val="32"/>
          <w:lang w:val="en-US" w:eastAsia="zh-CN" w:bidi="ar-SA"/>
        </w:rPr>
        <w:t>：</w:t>
      </w:r>
    </w:p>
    <w:p w14:paraId="2A71933B">
      <w:pPr>
        <w:keepNext w:val="0"/>
        <w:keepLines w:val="0"/>
        <w:pageBreakBefore w:val="0"/>
        <w:kinsoku/>
        <w:wordWrap/>
        <w:overflowPunct/>
        <w:topLinePunct w:val="0"/>
        <w:autoSpaceDE/>
        <w:autoSpaceDN/>
        <w:bidi w:val="0"/>
        <w:adjustRightInd/>
        <w:snapToGrid/>
        <w:spacing w:line="240" w:lineRule="auto"/>
        <w:ind w:left="0" w:firstLine="602" w:firstLineChars="200"/>
        <w:jc w:val="left"/>
        <w:rPr>
          <w:rFonts w:hint="default"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1.技术参数</w:t>
      </w:r>
    </w:p>
    <w:p w14:paraId="62733B05">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1.1血气分析仪一台：具有SFDA及EC认证</w:t>
      </w:r>
    </w:p>
    <w:p w14:paraId="79AC1B9C">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1.2实测参数：pH、pO2、pCO2，Na+、K+、Ca2+、Cl-、Lac、Hct等9项实测参数</w:t>
      </w:r>
    </w:p>
    <w:p w14:paraId="5AAC25FB">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1.3计算参数：Ch+,cHCO3 -(P)，cBase(B)，cBase(B,ox)，cBase(Ecf)，cBase(Ecf,ox)，cHCO3-(P,st),ctCO2(P)，ctCO2(B)，cCa2+(7.40)，Anion Gap (K+)，Anion Gap，ctO2,sO2，ctHb，pO2(A)，pO2(a/A)，pO2(A–a)，Po2(a)/Fo2I,RI等20项计算参数</w:t>
      </w:r>
    </w:p>
    <w:p w14:paraId="193A0732">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1.4方法学：电流、电位和电导微电极技术</w:t>
      </w:r>
    </w:p>
    <w:p w14:paraId="6232CA0D">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1.5全参数检测样本体积≤75µl</w:t>
      </w:r>
    </w:p>
    <w:p w14:paraId="517E3A1A">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1.6进样方式：自动吸样，进样针具有自动清洁功能。</w:t>
      </w:r>
    </w:p>
    <w:p w14:paraId="7287C811">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1.7可实现多种规格测试卡自由选择，试剂卡规格大于5种，最小人份规格小于30人份，最大人份规格大于250人份。</w:t>
      </w:r>
    </w:p>
    <w:p w14:paraId="5E131F19">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1.8测试卡上机效期≥25天，定标液上机效期≥50天。</w:t>
      </w:r>
    </w:p>
    <w:p w14:paraId="21516C74">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1.9定标设置: 可支持计划间隔执行定标。2点定标可手动设置</w:t>
      </w:r>
    </w:p>
    <w:p w14:paraId="03D8B0F6">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1.10设备具有待机模式进入休眠，减少试剂包消耗。</w:t>
      </w:r>
    </w:p>
    <w:p w14:paraId="2B0979CD">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1.11可实现操作步骤实时屏幕动画导引，用户只需跟随屏幕动画即可规范完成分析操作</w:t>
      </w:r>
    </w:p>
    <w:p w14:paraId="25927C4D">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1.12自动生成质控图，支持外部质控品，自动记录质控数据。</w:t>
      </w:r>
    </w:p>
    <w:p w14:paraId="7FB74CBE">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1.13数据存储：≥500例，支持U盘下载。</w:t>
      </w:r>
    </w:p>
    <w:p w14:paraId="36080CC3">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1.14配备彩色触摸液晶显示屏、WindowsXP操作系统、以太网端口和USB接口，可外接键盘和外接条形码扫描器及打印机</w:t>
      </w:r>
    </w:p>
    <w:p w14:paraId="6DDE5281">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1.15耗材存储：满足常温2–25°C储存（乳酸测试卡2–8°C）</w:t>
      </w:r>
    </w:p>
    <w:p w14:paraId="05100B83">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1.16耗材只需更换测试卡与试剂包，无须其它维护工作。</w:t>
      </w:r>
    </w:p>
    <w:p w14:paraId="2918A534">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default"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1.17具有单向、双向连接外部Lis软件或网络的能力。</w:t>
      </w:r>
    </w:p>
    <w:p w14:paraId="3D312430">
      <w:pPr>
        <w:pStyle w:val="10"/>
        <w:keepNext w:val="0"/>
        <w:keepLines w:val="0"/>
        <w:pageBreakBefore w:val="0"/>
        <w:widowControl/>
        <w:numPr>
          <w:ilvl w:val="1"/>
          <w:numId w:val="0"/>
        </w:numPr>
        <w:kinsoku/>
        <w:wordWrap/>
        <w:overflowPunct/>
        <w:topLinePunct w:val="0"/>
        <w:autoSpaceDE/>
        <w:autoSpaceDN/>
        <w:bidi w:val="0"/>
        <w:adjustRightInd/>
        <w:snapToGrid/>
        <w:spacing w:line="240" w:lineRule="auto"/>
        <w:ind w:left="105" w:leftChars="50" w:firstLine="301" w:firstLineChars="100"/>
        <w:jc w:val="left"/>
        <w:textAlignment w:val="auto"/>
        <w:rPr>
          <w:rFonts w:hint="default"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2.设备项目要求</w:t>
      </w:r>
    </w:p>
    <w:p w14:paraId="63FE8358">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2.1</w:t>
      </w:r>
      <w:r>
        <w:rPr>
          <w:rFonts w:hint="eastAsia" w:ascii="宋体" w:hAnsi="宋体" w:eastAsia="宋体" w:cs="宋体"/>
          <w:b w:val="0"/>
          <w:bCs w:val="0"/>
          <w:kern w:val="2"/>
          <w:sz w:val="30"/>
          <w:szCs w:val="30"/>
          <w:lang w:val="en-US" w:eastAsia="zh-CN" w:bidi="ar-SA"/>
        </w:rPr>
        <w:t>乙方确保设备安全无损地运抵甲方指定现场,并承担设备的运费、装卸费、安装费和保险费等费用。</w:t>
      </w:r>
    </w:p>
    <w:p w14:paraId="21300C28">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 xml:space="preserve"> 2.</w:t>
      </w:r>
      <w:r>
        <w:rPr>
          <w:rFonts w:hint="eastAsia" w:ascii="宋体" w:hAnsi="宋体" w:cs="宋体"/>
          <w:b w:val="0"/>
          <w:bCs w:val="0"/>
          <w:kern w:val="2"/>
          <w:sz w:val="30"/>
          <w:szCs w:val="30"/>
          <w:lang w:val="en-US" w:eastAsia="zh-CN" w:bidi="ar-SA"/>
        </w:rPr>
        <w:t>2</w:t>
      </w:r>
      <w:r>
        <w:rPr>
          <w:rFonts w:hint="eastAsia" w:ascii="宋体" w:hAnsi="宋体" w:eastAsia="宋体" w:cs="宋体"/>
          <w:b w:val="0"/>
          <w:bCs w:val="0"/>
          <w:kern w:val="2"/>
          <w:sz w:val="30"/>
          <w:szCs w:val="30"/>
          <w:lang w:val="en-US" w:eastAsia="zh-CN" w:bidi="ar-SA"/>
        </w:rPr>
        <w:t xml:space="preserve">乙方应提供设备的技术文件，包括相应的操作手册、维护手册、质量保证文件、服务指南等，这些文件应随同设备一起发运至甲方。 </w:t>
      </w:r>
    </w:p>
    <w:p w14:paraId="2A75733B">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2.3</w:t>
      </w:r>
      <w:r>
        <w:rPr>
          <w:rFonts w:hint="eastAsia" w:ascii="宋体" w:hAnsi="宋体" w:eastAsia="宋体" w:cs="宋体"/>
          <w:b w:val="0"/>
          <w:bCs w:val="0"/>
          <w:kern w:val="2"/>
          <w:sz w:val="30"/>
          <w:szCs w:val="30"/>
          <w:lang w:val="en-US" w:eastAsia="zh-CN" w:bidi="ar-SA"/>
        </w:rPr>
        <w:t xml:space="preserve">甲乙双方在符合国家相关技术标准的基础上，对设备进行开箱清点检查验收，如果发现数量不足或有质量、技术等问题，乙方应在7个工作日内，按照甲方的要求，采取补足、更换或退货等处理措施，并承担由此发生的一切损失和费用。 </w:t>
      </w:r>
    </w:p>
    <w:p w14:paraId="7D5B910A">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2.4</w:t>
      </w:r>
      <w:r>
        <w:rPr>
          <w:rFonts w:hint="eastAsia" w:ascii="宋体" w:hAnsi="宋体" w:eastAsia="宋体" w:cs="宋体"/>
          <w:b w:val="0"/>
          <w:bCs w:val="0"/>
          <w:kern w:val="2"/>
          <w:sz w:val="30"/>
          <w:szCs w:val="30"/>
          <w:lang w:val="en-US" w:eastAsia="zh-CN" w:bidi="ar-SA"/>
        </w:rPr>
        <w:t xml:space="preserve">设备到货后，乙方应在接到甲方通知后安排技术人员在5天内安装调试完成，并根据甲方要求完使用培训。 </w:t>
      </w:r>
    </w:p>
    <w:p w14:paraId="0E390C9C">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2.5</w:t>
      </w:r>
      <w:r>
        <w:rPr>
          <w:rFonts w:hint="eastAsia" w:ascii="宋体" w:hAnsi="宋体" w:eastAsia="宋体" w:cs="宋体"/>
          <w:b w:val="0"/>
          <w:bCs w:val="0"/>
          <w:kern w:val="2"/>
          <w:sz w:val="30"/>
          <w:szCs w:val="30"/>
          <w:lang w:val="en-US" w:eastAsia="zh-CN" w:bidi="ar-SA"/>
        </w:rPr>
        <w:t>提供设备安装和维修所需的专用工具和辅助材料，安装调试完毕，完成甲方要求验收合格后，签字确认。</w:t>
      </w:r>
    </w:p>
    <w:p w14:paraId="241CD0B8">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 xml:space="preserve">收货地点：甲方指定收货地点。 </w:t>
      </w:r>
    </w:p>
    <w:p w14:paraId="58F74066">
      <w:pPr>
        <w:pStyle w:val="10"/>
        <w:keepNext w:val="0"/>
        <w:keepLines w:val="0"/>
        <w:pageBreakBefore w:val="0"/>
        <w:widowControl/>
        <w:numPr>
          <w:ilvl w:val="1"/>
          <w:numId w:val="0"/>
        </w:numPr>
        <w:kinsoku/>
        <w:wordWrap/>
        <w:overflowPunct/>
        <w:topLinePunct w:val="0"/>
        <w:autoSpaceDE/>
        <w:autoSpaceDN/>
        <w:bidi w:val="0"/>
        <w:adjustRightInd/>
        <w:snapToGrid/>
        <w:spacing w:line="240" w:lineRule="auto"/>
        <w:ind w:left="105" w:leftChars="50" w:firstLine="301" w:firstLineChars="100"/>
        <w:jc w:val="left"/>
        <w:textAlignment w:val="auto"/>
        <w:rPr>
          <w:rFonts w:hint="eastAsia" w:ascii="宋体" w:hAnsi="宋体" w:eastAsia="宋体" w:cs="宋体"/>
          <w:b/>
          <w:bCs/>
          <w:kern w:val="2"/>
          <w:sz w:val="30"/>
          <w:szCs w:val="30"/>
          <w:lang w:val="en-US" w:eastAsia="zh-CN" w:bidi="ar-SA"/>
        </w:rPr>
      </w:pPr>
      <w:r>
        <w:rPr>
          <w:rFonts w:hint="eastAsia" w:ascii="宋体" w:hAnsi="宋体" w:cs="宋体"/>
          <w:b/>
          <w:bCs/>
          <w:kern w:val="2"/>
          <w:sz w:val="30"/>
          <w:szCs w:val="30"/>
          <w:lang w:val="en-US" w:eastAsia="zh-CN" w:bidi="ar-SA"/>
        </w:rPr>
        <w:t>3.</w:t>
      </w:r>
      <w:r>
        <w:rPr>
          <w:rFonts w:hint="eastAsia" w:ascii="宋体" w:hAnsi="宋体" w:eastAsia="宋体" w:cs="宋体"/>
          <w:b/>
          <w:bCs/>
          <w:kern w:val="2"/>
          <w:sz w:val="30"/>
          <w:szCs w:val="30"/>
          <w:lang w:val="en-US" w:eastAsia="zh-CN" w:bidi="ar-SA"/>
        </w:rPr>
        <w:t xml:space="preserve">质量保证及售后服务 </w:t>
      </w:r>
    </w:p>
    <w:p w14:paraId="64E9C5DB">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3.1</w:t>
      </w:r>
      <w:r>
        <w:rPr>
          <w:rFonts w:hint="eastAsia" w:ascii="宋体" w:hAnsi="宋体" w:eastAsia="宋体" w:cs="宋体"/>
          <w:b w:val="0"/>
          <w:bCs w:val="0"/>
          <w:kern w:val="2"/>
          <w:sz w:val="30"/>
          <w:szCs w:val="30"/>
          <w:lang w:val="en-US" w:eastAsia="zh-CN" w:bidi="ar-SA"/>
        </w:rPr>
        <w:t xml:space="preserve">乙方保证所供设备是全新的、未使用过的，并符合国家有关标准、制造厂标准及行业技术标准要求。如使用后发现设备的质量、规格或性能与合同不符，或证实设备是有缺陷的，包括潜在的缺陷或使用不符合要求的材料等，乙方应在接到甲方通知后7个工作 日内负责采用符合合同规定的性能、质量和规格要求的设备来进行更换，并相应延长质量保证期。其费用由乙方负担，且甲方有权无条件解除合同。 </w:t>
      </w:r>
    </w:p>
    <w:p w14:paraId="7820DBBD">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3.2</w:t>
      </w:r>
      <w:r>
        <w:rPr>
          <w:rFonts w:hint="eastAsia" w:ascii="宋体" w:hAnsi="宋体" w:eastAsia="宋体" w:cs="宋体"/>
          <w:b w:val="0"/>
          <w:bCs w:val="0"/>
          <w:kern w:val="2"/>
          <w:sz w:val="30"/>
          <w:szCs w:val="30"/>
          <w:lang w:val="en-US" w:eastAsia="zh-CN" w:bidi="ar-SA"/>
        </w:rPr>
        <w:t xml:space="preserve">乙方应提供设备保修期24个月，保修期的期限应以甲乙双方的验收合格签收之日起计算，保修期内免费更换零配件及工时费。乙方在保修期内应确保设备开机率为95%以上，如达不到此 要求，即相应延长保修期。 </w:t>
      </w:r>
    </w:p>
    <w:p w14:paraId="6F1D3673">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3.2</w:t>
      </w:r>
      <w:r>
        <w:rPr>
          <w:rFonts w:hint="eastAsia" w:ascii="宋体" w:hAnsi="宋体" w:eastAsia="宋体" w:cs="宋体"/>
          <w:b w:val="0"/>
          <w:bCs w:val="0"/>
          <w:kern w:val="2"/>
          <w:sz w:val="30"/>
          <w:szCs w:val="30"/>
          <w:lang w:val="en-US" w:eastAsia="zh-CN" w:bidi="ar-SA"/>
        </w:rPr>
        <w:t xml:space="preserve">报修响应时间1小时，到场时间12小时（不可抗拒力量下除外）。 </w:t>
      </w:r>
    </w:p>
    <w:p w14:paraId="4E36DFFA">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3.4</w:t>
      </w:r>
      <w:r>
        <w:rPr>
          <w:rFonts w:hint="eastAsia" w:ascii="宋体" w:hAnsi="宋体" w:eastAsia="宋体" w:cs="宋体"/>
          <w:b w:val="0"/>
          <w:bCs w:val="0"/>
          <w:kern w:val="2"/>
          <w:sz w:val="30"/>
          <w:szCs w:val="30"/>
          <w:lang w:val="en-US" w:eastAsia="zh-CN" w:bidi="ar-SA"/>
        </w:rPr>
        <w:t xml:space="preserve">保修期满后，年度定期预防性维护保养次数，不少于2次。 </w:t>
      </w:r>
    </w:p>
    <w:p w14:paraId="489FDA30">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3.5</w:t>
      </w:r>
      <w:r>
        <w:rPr>
          <w:rFonts w:hint="eastAsia" w:ascii="宋体" w:hAnsi="宋体" w:eastAsia="宋体" w:cs="宋体"/>
          <w:b w:val="0"/>
          <w:bCs w:val="0"/>
          <w:kern w:val="2"/>
          <w:sz w:val="30"/>
          <w:szCs w:val="30"/>
          <w:lang w:val="en-US" w:eastAsia="zh-CN" w:bidi="ar-SA"/>
        </w:rPr>
        <w:t xml:space="preserve">乙方负责设备的终身维修并应继续提供优质的服务，储备足够的零配件备库，保修期满后，以优惠价供应维修零配件。 </w:t>
      </w:r>
    </w:p>
    <w:p w14:paraId="0911358A">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cs="宋体"/>
          <w:b w:val="0"/>
          <w:bCs w:val="0"/>
          <w:kern w:val="2"/>
          <w:sz w:val="30"/>
          <w:szCs w:val="30"/>
          <w:lang w:val="en-US" w:eastAsia="zh-CN" w:bidi="ar-SA"/>
        </w:rPr>
        <w:t>3.6</w:t>
      </w:r>
      <w:r>
        <w:rPr>
          <w:rFonts w:hint="eastAsia" w:ascii="宋体" w:hAnsi="宋体" w:eastAsia="宋体" w:cs="宋体"/>
          <w:b w:val="0"/>
          <w:bCs w:val="0"/>
          <w:kern w:val="2"/>
          <w:sz w:val="30"/>
          <w:szCs w:val="30"/>
          <w:lang w:val="en-US" w:eastAsia="zh-CN" w:bidi="ar-SA"/>
        </w:rPr>
        <w:t xml:space="preserve">因乙方设备、配件、耗材、知识产权等原因造成的一切事故、纠纷，由乙方负全部责任并承担由此产生的一切损失和费用。 </w:t>
      </w:r>
    </w:p>
    <w:p w14:paraId="5A8D1AA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52" w:firstLineChars="150"/>
        <w:jc w:val="left"/>
        <w:textAlignment w:val="auto"/>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4.服务期/交货期：</w:t>
      </w:r>
    </w:p>
    <w:p w14:paraId="4BA3AC3B">
      <w:pPr>
        <w:pStyle w:val="10"/>
        <w:keepNext w:val="0"/>
        <w:keepLines w:val="0"/>
        <w:pageBreakBefore w:val="0"/>
        <w:numPr>
          <w:ilvl w:val="1"/>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乙方在合同生效的__10__个日历天内向甲方交付上述设备，乙方逾期供货，每延长一天，扣除合同额的千分之五做为违约金；延期15天以上，甲方有权无条件解除合同。</w:t>
      </w:r>
    </w:p>
    <w:p w14:paraId="74AA72E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52" w:firstLineChars="150"/>
        <w:jc w:val="left"/>
        <w:textAlignment w:val="auto"/>
        <w:rPr>
          <w:rFonts w:hint="eastAsia" w:ascii="宋体" w:hAnsi="宋体" w:eastAsia="宋体" w:cs="宋体"/>
          <w:b w:val="0"/>
          <w:bCs w:val="0"/>
          <w:kern w:val="2"/>
          <w:sz w:val="30"/>
          <w:szCs w:val="30"/>
          <w:lang w:val="en-US" w:eastAsia="zh-CN" w:bidi="ar-SA"/>
        </w:rPr>
      </w:pPr>
      <w:r>
        <w:rPr>
          <w:rFonts w:hint="eastAsia" w:ascii="宋体" w:hAnsi="宋体" w:eastAsia="宋体" w:cs="宋体"/>
          <w:b/>
          <w:bCs/>
          <w:kern w:val="2"/>
          <w:sz w:val="30"/>
          <w:szCs w:val="30"/>
          <w:lang w:val="en-US" w:eastAsia="zh-CN" w:bidi="ar-SA"/>
        </w:rPr>
        <w:t>5.付款方式</w:t>
      </w:r>
      <w:r>
        <w:rPr>
          <w:rFonts w:hint="eastAsia" w:ascii="宋体" w:hAnsi="宋体" w:eastAsia="宋体" w:cs="宋体"/>
          <w:b w:val="0"/>
          <w:bCs w:val="0"/>
          <w:kern w:val="2"/>
          <w:sz w:val="30"/>
          <w:szCs w:val="30"/>
          <w:lang w:val="en-US" w:eastAsia="zh-CN" w:bidi="ar-SA"/>
        </w:rPr>
        <w:t>：</w:t>
      </w:r>
    </w:p>
    <w:p w14:paraId="321AE072">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b w:val="0"/>
          <w:bCs w:val="0"/>
          <w:kern w:val="2"/>
          <w:sz w:val="30"/>
          <w:szCs w:val="30"/>
          <w:lang w:val="en-US" w:eastAsia="zh-CN" w:bidi="ar-SA"/>
        </w:rPr>
      </w:pPr>
      <w:r>
        <w:rPr>
          <w:rFonts w:hint="eastAsia" w:ascii="宋体" w:hAnsi="宋体" w:eastAsia="宋体" w:cs="宋体"/>
          <w:b w:val="0"/>
          <w:bCs w:val="0"/>
          <w:kern w:val="2"/>
          <w:sz w:val="30"/>
          <w:szCs w:val="30"/>
          <w:lang w:val="en-US" w:eastAsia="zh-CN" w:bidi="ar-SA"/>
        </w:rPr>
        <w:t xml:space="preserve">合同签订生效后，供货完毕采购人验收合格后，成交供应商提供正规发票付合同价款的 30%, 验收合格后第一年付合同价款的60%, 剩余10％质保期结束后无任何质量问题一次性付清。 </w:t>
      </w:r>
    </w:p>
    <w:p w14:paraId="3AA8F193">
      <w:pPr>
        <w:keepNext w:val="0"/>
        <w:keepLines w:val="0"/>
        <w:pageBreakBefore w:val="0"/>
        <w:widowControl w:val="0"/>
        <w:numPr>
          <w:ilvl w:val="0"/>
          <w:numId w:val="3"/>
        </w:numPr>
        <w:kinsoku/>
        <w:wordWrap/>
        <w:overflowPunct/>
        <w:topLinePunct w:val="0"/>
        <w:autoSpaceDE/>
        <w:autoSpaceDN/>
        <w:bidi w:val="0"/>
        <w:adjustRightInd/>
        <w:snapToGrid/>
        <w:spacing w:line="240" w:lineRule="auto"/>
        <w:ind w:firstLine="452" w:firstLineChars="150"/>
        <w:jc w:val="left"/>
        <w:textAlignment w:val="auto"/>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供应商资格要求：</w:t>
      </w:r>
    </w:p>
    <w:p w14:paraId="7EB4559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default" w:ascii="宋体" w:hAnsi="宋体" w:eastAsia="宋体" w:cs="宋体"/>
          <w:b/>
          <w:bCs/>
          <w:kern w:val="2"/>
          <w:sz w:val="30"/>
          <w:szCs w:val="30"/>
          <w:lang w:val="en-US" w:eastAsia="zh-CN" w:bidi="ar-SA"/>
        </w:rPr>
      </w:pPr>
      <w:r>
        <w:rPr>
          <w:rFonts w:hint="eastAsia" w:ascii="宋体" w:hAnsi="宋体" w:eastAsia="宋体" w:cs="宋体"/>
          <w:b w:val="0"/>
          <w:bCs w:val="0"/>
          <w:kern w:val="2"/>
          <w:sz w:val="30"/>
          <w:szCs w:val="30"/>
          <w:lang w:val="en-US" w:eastAsia="zh-CN" w:bidi="ar-SA"/>
        </w:rPr>
        <w:t>设备需提供营业执照、厂家授权、医疗器械生产许可证、医疗器械经营备案凭证、医疗器械经营许可证、医疗器械注册证等相关资质材料。</w:t>
      </w:r>
    </w:p>
    <w:p w14:paraId="7F1B4B83">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420" w:leftChars="0" w:hanging="420" w:firstLineChars="0"/>
        <w:jc w:val="left"/>
        <w:textAlignment w:val="auto"/>
        <w:rPr>
          <w:rFonts w:hint="eastAsia" w:ascii="宋体" w:hAnsi="宋体" w:eastAsia="宋体" w:cs="宋体"/>
          <w:b/>
          <w:bCs/>
          <w:color w:val="auto"/>
          <w:kern w:val="2"/>
          <w:sz w:val="32"/>
          <w:szCs w:val="32"/>
          <w:highlight w:val="none"/>
          <w:lang w:val="en-US" w:eastAsia="zh-CN" w:bidi="ar"/>
        </w:rPr>
      </w:pPr>
      <w:r>
        <w:rPr>
          <w:rFonts w:hint="eastAsia" w:ascii="宋体" w:hAnsi="宋体" w:eastAsia="宋体" w:cs="宋体"/>
          <w:b/>
          <w:bCs/>
          <w:color w:val="auto"/>
          <w:kern w:val="2"/>
          <w:sz w:val="32"/>
          <w:szCs w:val="32"/>
          <w:highlight w:val="none"/>
          <w:lang w:val="en-US" w:eastAsia="zh-CN" w:bidi="ar"/>
        </w:rPr>
        <w:t>耗材技术参数</w:t>
      </w:r>
    </w:p>
    <w:p w14:paraId="4A221BD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宋体" w:hAnsi="宋体" w:eastAsia="宋体" w:cs="宋体"/>
          <w:b/>
          <w:bCs/>
          <w:color w:val="auto"/>
          <w:kern w:val="2"/>
          <w:sz w:val="32"/>
          <w:szCs w:val="32"/>
          <w:highlight w:val="none"/>
          <w:lang w:val="en-US" w:eastAsia="zh-CN" w:bidi="ar"/>
        </w:rPr>
      </w:pPr>
      <w:r>
        <w:rPr>
          <w:rFonts w:hint="eastAsia" w:ascii="宋体" w:hAnsi="宋体" w:eastAsia="宋体" w:cs="宋体"/>
          <w:b/>
          <w:bCs/>
          <w:color w:val="auto"/>
          <w:kern w:val="2"/>
          <w:sz w:val="32"/>
          <w:szCs w:val="32"/>
          <w:highlight w:val="none"/>
          <w:lang w:val="en-US" w:eastAsia="zh-CN" w:bidi="ar"/>
        </w:rPr>
        <w:t>1.技术参数：</w:t>
      </w:r>
      <w:r>
        <w:rPr>
          <w:rFonts w:hint="eastAsia" w:ascii="宋体" w:hAnsi="宋体" w:eastAsia="宋体" w:cs="宋体"/>
          <w:b w:val="0"/>
          <w:bCs w:val="0"/>
          <w:color w:val="auto"/>
          <w:kern w:val="2"/>
          <w:sz w:val="30"/>
          <w:szCs w:val="30"/>
          <w:highlight w:val="none"/>
          <w:lang w:val="en-US" w:eastAsia="zh-CN" w:bidi="ar"/>
        </w:rPr>
        <w:t>检测人全血/脐血中PH、二氧化碳分压、氧分压、碱剩余、乳酸等</w:t>
      </w:r>
    </w:p>
    <w:p w14:paraId="70B321B8">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left"/>
        <w:textAlignment w:val="auto"/>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2.耗材项目要求（或配送及售后服务要求）</w:t>
      </w:r>
    </w:p>
    <w:p w14:paraId="2A05144D">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left"/>
        <w:textAlignment w:val="auto"/>
        <w:rPr>
          <w:rFonts w:hint="eastAsia" w:ascii="宋体" w:hAnsi="宋体" w:eastAsia="宋体" w:cs="宋体"/>
          <w:sz w:val="30"/>
          <w:szCs w:val="30"/>
        </w:rPr>
      </w:pP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1</w:t>
      </w:r>
      <w:r>
        <w:rPr>
          <w:rFonts w:hint="eastAsia" w:ascii="宋体" w:hAnsi="宋体" w:eastAsia="宋体" w:cs="宋体"/>
          <w:sz w:val="30"/>
          <w:szCs w:val="30"/>
          <w:lang w:eastAsia="zh-CN"/>
        </w:rPr>
        <w:t>）</w:t>
      </w:r>
      <w:r>
        <w:rPr>
          <w:rFonts w:hint="eastAsia" w:ascii="宋体" w:hAnsi="宋体" w:eastAsia="宋体" w:cs="宋体"/>
          <w:sz w:val="30"/>
          <w:szCs w:val="30"/>
        </w:rPr>
        <w:t>服务内容:</w:t>
      </w:r>
    </w:p>
    <w:p w14:paraId="2EEE8F70">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rPr>
        <w:t>为医院提供检验试剂等耗材精益化管理服务，助力医院提升从采购计划到验收、入库、出库以及使用消耗的全链条管理水平,保证临床检验试剂使用质量安全及风险控制，最终优化和提升医院耗材</w:t>
      </w:r>
      <w:r>
        <w:rPr>
          <w:rFonts w:hint="eastAsia" w:ascii="宋体" w:hAnsi="宋体" w:eastAsia="宋体" w:cs="宋体"/>
          <w:sz w:val="30"/>
          <w:szCs w:val="30"/>
          <w:lang w:eastAsia="zh-CN"/>
        </w:rPr>
        <w:t>试剂</w:t>
      </w:r>
      <w:r>
        <w:rPr>
          <w:rFonts w:hint="eastAsia" w:ascii="宋体" w:hAnsi="宋体" w:eastAsia="宋体" w:cs="宋体"/>
          <w:sz w:val="30"/>
          <w:szCs w:val="30"/>
        </w:rPr>
        <w:t>精细化管理和服务水平。</w:t>
      </w:r>
    </w:p>
    <w:p w14:paraId="10533D65">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2</w:t>
      </w:r>
      <w:r>
        <w:rPr>
          <w:rFonts w:hint="eastAsia" w:ascii="宋体" w:hAnsi="宋体" w:eastAsia="宋体" w:cs="宋体"/>
          <w:sz w:val="30"/>
          <w:szCs w:val="30"/>
          <w:lang w:eastAsia="zh-CN"/>
        </w:rPr>
        <w:t>）</w:t>
      </w:r>
      <w:r>
        <w:rPr>
          <w:rFonts w:hint="eastAsia" w:ascii="宋体" w:hAnsi="宋体" w:eastAsia="宋体" w:cs="宋体"/>
          <w:sz w:val="30"/>
          <w:szCs w:val="30"/>
        </w:rPr>
        <w:t>服务目标:</w:t>
      </w:r>
    </w:p>
    <w:p w14:paraId="6EC149C0">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rPr>
        <w:t>为保证医院检验试剂使用的安全性、合理性、有效性，达到降本增效的目的，提升精益化管理水平，促进医院高质量发展。</w:t>
      </w:r>
    </w:p>
    <w:p w14:paraId="562D22A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宋体" w:hAnsi="宋体" w:eastAsia="宋体" w:cs="宋体"/>
          <w:sz w:val="30"/>
          <w:szCs w:val="30"/>
        </w:rPr>
      </w:pP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3</w:t>
      </w:r>
      <w:r>
        <w:rPr>
          <w:rFonts w:hint="eastAsia" w:ascii="宋体" w:hAnsi="宋体" w:eastAsia="宋体" w:cs="宋体"/>
          <w:sz w:val="30"/>
          <w:szCs w:val="30"/>
          <w:lang w:eastAsia="zh-CN"/>
        </w:rPr>
        <w:t>）</w:t>
      </w:r>
      <w:r>
        <w:rPr>
          <w:rFonts w:hint="eastAsia" w:ascii="宋体" w:hAnsi="宋体" w:eastAsia="宋体" w:cs="宋体"/>
          <w:sz w:val="30"/>
          <w:szCs w:val="30"/>
        </w:rPr>
        <w:t>服务要求:</w:t>
      </w:r>
    </w:p>
    <w:p w14:paraId="6F1D5B10">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val="en-US" w:eastAsia="zh-CN"/>
        </w:rPr>
        <w:t>3.1</w:t>
      </w:r>
      <w:r>
        <w:rPr>
          <w:rFonts w:hint="eastAsia" w:ascii="宋体" w:hAnsi="宋体" w:eastAsia="宋体" w:cs="宋体"/>
          <w:sz w:val="30"/>
          <w:szCs w:val="30"/>
        </w:rPr>
        <w:t>所提供必须执行《医疗器械监督管理条例》《医疗器材使用质量监督管理办法》《一次性使用无菌医疗器械监督管理办法》等符合国家规定的</w:t>
      </w:r>
      <w:r>
        <w:rPr>
          <w:rFonts w:hint="eastAsia" w:ascii="宋体" w:hAnsi="宋体" w:eastAsia="宋体" w:cs="宋体"/>
          <w:sz w:val="30"/>
          <w:szCs w:val="30"/>
          <w:lang w:val="en-US" w:eastAsia="zh-CN"/>
        </w:rPr>
        <w:t>合法经营的</w:t>
      </w:r>
      <w:r>
        <w:rPr>
          <w:rFonts w:hint="eastAsia" w:ascii="宋体" w:hAnsi="宋体" w:eastAsia="宋体" w:cs="宋体"/>
          <w:sz w:val="30"/>
          <w:szCs w:val="30"/>
          <w:lang w:eastAsia="zh-CN"/>
        </w:rPr>
        <w:t>检验试剂</w:t>
      </w:r>
      <w:r>
        <w:rPr>
          <w:rFonts w:hint="eastAsia" w:ascii="宋体" w:hAnsi="宋体" w:eastAsia="宋体" w:cs="宋体"/>
          <w:sz w:val="30"/>
          <w:szCs w:val="30"/>
        </w:rPr>
        <w:t>，并确保在合同期内按招标人目录向招标人提供所需</w:t>
      </w:r>
      <w:r>
        <w:rPr>
          <w:rFonts w:hint="eastAsia" w:ascii="宋体" w:hAnsi="宋体" w:eastAsia="宋体" w:cs="宋体"/>
          <w:sz w:val="30"/>
          <w:szCs w:val="30"/>
          <w:lang w:eastAsia="zh-CN"/>
        </w:rPr>
        <w:t>试剂，</w:t>
      </w:r>
      <w:r>
        <w:rPr>
          <w:rFonts w:hint="eastAsia" w:ascii="宋体" w:hAnsi="宋体" w:eastAsia="宋体" w:cs="宋体"/>
          <w:sz w:val="30"/>
          <w:szCs w:val="30"/>
        </w:rPr>
        <w:t>并完成配送服务，不得以任何理由推脱。</w:t>
      </w:r>
    </w:p>
    <w:p w14:paraId="1DC515B9">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3.2乙方须保证所投产品及服务不会出现因第三方提出侵犯其专利权、商标权或其它知识产权而引发法律或经济纠纷，所提供的必须是合法经营的检验试剂，否则由乙方承担全部责任。由于检验试剂本身质量问题引起的医疗器械不良事件，给医院或者第三人造成损失的，乙方应无条件配合医院或者协调生产厂家承担相应的赔偿责任。</w:t>
      </w:r>
    </w:p>
    <w:p w14:paraId="7AA406B1">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3.3乙方须根据招标人要求做好院内检验试剂的信息化物流管理。</w:t>
      </w:r>
    </w:p>
    <w:p w14:paraId="617DB88A">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3.4合同价格不得高于山东省药品和医用耗材招采管理子系统挂网价。</w:t>
      </w:r>
    </w:p>
    <w:p w14:paraId="5E250708">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3.5乙方须具备良好的检验试剂冷链运输能力，能满足检验试剂运输过程中温湿度要求。</w:t>
      </w:r>
    </w:p>
    <w:p w14:paraId="3BCBC596">
      <w:pPr>
        <w:keepNext w:val="0"/>
        <w:keepLines w:val="0"/>
        <w:pageBreakBefore w:val="0"/>
        <w:widowControl w:val="0"/>
        <w:kinsoku/>
        <w:wordWrap/>
        <w:overflowPunct/>
        <w:topLinePunct w:val="0"/>
        <w:autoSpaceDE/>
        <w:autoSpaceDN/>
        <w:bidi w:val="0"/>
        <w:adjustRightInd/>
        <w:snapToGrid/>
        <w:spacing w:line="240" w:lineRule="auto"/>
        <w:ind w:firstLine="602" w:firstLineChars="200"/>
        <w:jc w:val="left"/>
        <w:textAlignment w:val="auto"/>
        <w:rPr>
          <w:rFonts w:hint="eastAsia" w:ascii="宋体" w:hAnsi="宋体" w:eastAsia="宋体" w:cs="宋体"/>
          <w:b/>
          <w:bCs/>
          <w:sz w:val="30"/>
          <w:szCs w:val="30"/>
        </w:rPr>
      </w:pPr>
      <w:r>
        <w:rPr>
          <w:rFonts w:hint="eastAsia" w:ascii="宋体" w:hAnsi="宋体" w:eastAsia="宋体" w:cs="宋体"/>
          <w:b/>
          <w:bCs/>
          <w:sz w:val="30"/>
          <w:szCs w:val="30"/>
          <w:lang w:val="en-US" w:eastAsia="zh-CN"/>
        </w:rPr>
        <w:t>3.</w:t>
      </w:r>
      <w:r>
        <w:rPr>
          <w:rFonts w:hint="eastAsia" w:ascii="宋体" w:hAnsi="宋体" w:eastAsia="宋体" w:cs="宋体"/>
          <w:b/>
          <w:bCs/>
          <w:sz w:val="30"/>
          <w:szCs w:val="30"/>
        </w:rPr>
        <w:t>售后服务要求</w:t>
      </w:r>
    </w:p>
    <w:p w14:paraId="187636F7">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val="en-US" w:eastAsia="zh-CN"/>
        </w:rPr>
        <w:t>（1）</w:t>
      </w:r>
      <w:r>
        <w:rPr>
          <w:rFonts w:hint="eastAsia" w:ascii="宋体" w:hAnsi="宋体" w:eastAsia="宋体" w:cs="宋体"/>
          <w:sz w:val="30"/>
          <w:szCs w:val="30"/>
        </w:rPr>
        <w:t>新产品在使用中需要进行参数上机设置，应由</w:t>
      </w:r>
      <w:r>
        <w:rPr>
          <w:rFonts w:hint="eastAsia" w:ascii="宋体" w:hAnsi="宋体" w:eastAsia="宋体" w:cs="宋体"/>
          <w:sz w:val="30"/>
          <w:szCs w:val="30"/>
          <w:lang w:eastAsia="zh-CN"/>
        </w:rPr>
        <w:t>乙方</w:t>
      </w:r>
      <w:r>
        <w:rPr>
          <w:rFonts w:hint="eastAsia" w:ascii="宋体" w:hAnsi="宋体" w:eastAsia="宋体" w:cs="宋体"/>
          <w:sz w:val="30"/>
          <w:szCs w:val="30"/>
        </w:rPr>
        <w:t>负责现场完成。</w:t>
      </w:r>
    </w:p>
    <w:p w14:paraId="7E9B374D">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（2）确保在合同期内按甲方发送的采购计划配送至指定地点。双方按照中标产品目录规定的品种、厂家、规格、价格、有效期等进行验货。</w:t>
      </w:r>
      <w:r>
        <w:rPr>
          <w:rFonts w:hint="eastAsia" w:ascii="宋体" w:hAnsi="宋体" w:eastAsia="宋体" w:cs="宋体"/>
          <w:sz w:val="30"/>
          <w:szCs w:val="30"/>
          <w:lang w:val="zh-CN" w:eastAsia="zh-CN"/>
        </w:rPr>
        <w:t>所有辅助试剂及耗材均包含在试剂报价内，不再单独</w:t>
      </w:r>
      <w:r>
        <w:rPr>
          <w:rFonts w:hint="eastAsia" w:ascii="宋体" w:hAnsi="宋体" w:eastAsia="宋体" w:cs="宋体"/>
          <w:sz w:val="30"/>
          <w:szCs w:val="30"/>
          <w:lang w:val="en-US" w:eastAsia="zh-CN"/>
        </w:rPr>
        <w:t>计价。乙方提供的检验试剂应随货向甲方提供使用说明书和质量标准及所要求的相关资料（进口产品报关单）。</w:t>
      </w:r>
    </w:p>
    <w:p w14:paraId="0BDA3F0E">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val="en-US" w:eastAsia="zh-CN"/>
        </w:rPr>
        <w:t>试剂有冷链运输要求的，应提供冷链运输温度记录表。不合格产品拒收并由乙方承担所有费用。</w:t>
      </w:r>
    </w:p>
    <w:p w14:paraId="3E373933">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val="en-US" w:eastAsia="zh-CN"/>
        </w:rPr>
        <w:t>（3）</w:t>
      </w:r>
      <w:r>
        <w:rPr>
          <w:rFonts w:hint="eastAsia" w:ascii="宋体" w:hAnsi="宋体" w:eastAsia="宋体" w:cs="宋体"/>
          <w:sz w:val="30"/>
          <w:szCs w:val="30"/>
        </w:rPr>
        <w:t>产品生产日期:</w:t>
      </w:r>
      <w:r>
        <w:rPr>
          <w:rFonts w:hint="eastAsia" w:ascii="宋体" w:hAnsi="宋体" w:eastAsia="宋体" w:cs="宋体"/>
          <w:sz w:val="30"/>
          <w:szCs w:val="30"/>
          <w:lang w:eastAsia="zh-CN"/>
        </w:rPr>
        <w:t>乙方</w:t>
      </w:r>
      <w:r>
        <w:rPr>
          <w:rFonts w:hint="eastAsia" w:ascii="宋体" w:hAnsi="宋体" w:eastAsia="宋体" w:cs="宋体"/>
          <w:sz w:val="30"/>
          <w:szCs w:val="30"/>
        </w:rPr>
        <w:t>每批次配送的货物应为供货时间前</w:t>
      </w:r>
      <w:r>
        <w:rPr>
          <w:rFonts w:hint="eastAsia" w:ascii="宋体" w:hAnsi="宋体" w:eastAsia="宋体" w:cs="宋体"/>
          <w:sz w:val="30"/>
          <w:szCs w:val="30"/>
          <w:lang w:val="en-US" w:eastAsia="zh-CN"/>
        </w:rPr>
        <w:t>3</w:t>
      </w:r>
      <w:r>
        <w:rPr>
          <w:rFonts w:hint="eastAsia" w:ascii="宋体" w:hAnsi="宋体" w:eastAsia="宋体" w:cs="宋体"/>
          <w:sz w:val="30"/>
          <w:szCs w:val="30"/>
        </w:rPr>
        <w:t>个月内生产的产品，若不在此期限内的，必须无条件予以更换符合此条件的同品牌、同型号产品(特殊</w:t>
      </w:r>
      <w:r>
        <w:rPr>
          <w:rFonts w:hint="eastAsia" w:ascii="宋体" w:hAnsi="宋体" w:eastAsia="宋体" w:cs="宋体"/>
          <w:sz w:val="30"/>
          <w:szCs w:val="30"/>
          <w:lang w:eastAsia="zh-CN"/>
        </w:rPr>
        <w:t>、</w:t>
      </w:r>
      <w:r>
        <w:rPr>
          <w:rFonts w:hint="eastAsia" w:ascii="宋体" w:hAnsi="宋体" w:eastAsia="宋体" w:cs="宋体"/>
          <w:sz w:val="30"/>
          <w:szCs w:val="30"/>
        </w:rPr>
        <w:t>应急产品除外)。</w:t>
      </w:r>
    </w:p>
    <w:p w14:paraId="7C56BF12">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rPr>
      </w:pPr>
      <w:r>
        <w:rPr>
          <w:rFonts w:hint="eastAsia" w:ascii="宋体" w:hAnsi="宋体" w:eastAsia="宋体" w:cs="宋体"/>
          <w:sz w:val="30"/>
          <w:szCs w:val="30"/>
          <w:lang w:val="en-US" w:eastAsia="zh-CN"/>
        </w:rPr>
        <w:t>（4）</w:t>
      </w:r>
      <w:r>
        <w:rPr>
          <w:rFonts w:hint="eastAsia" w:ascii="宋体" w:hAnsi="宋体" w:eastAsia="宋体" w:cs="宋体"/>
          <w:sz w:val="30"/>
          <w:szCs w:val="30"/>
        </w:rPr>
        <w:t>产品临近质量保证期或过期产品，无条件更换最新生产的产品。</w:t>
      </w:r>
    </w:p>
    <w:p w14:paraId="0CA5488E">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（5）</w:t>
      </w:r>
      <w:r>
        <w:rPr>
          <w:rFonts w:hint="eastAsia" w:ascii="宋体" w:hAnsi="宋体" w:eastAsia="宋体" w:cs="宋体"/>
          <w:sz w:val="30"/>
          <w:szCs w:val="30"/>
        </w:rPr>
        <w:t>中标必须保证所供应产品的相应资质(如注册证、备案资料等)在有效期内</w:t>
      </w:r>
      <w:r>
        <w:rPr>
          <w:rFonts w:hint="eastAsia" w:ascii="宋体" w:hAnsi="宋体" w:eastAsia="宋体" w:cs="宋体"/>
          <w:sz w:val="30"/>
          <w:szCs w:val="30"/>
          <w:lang w:eastAsia="zh-CN"/>
        </w:rPr>
        <w:t>。根据甲方要求，</w:t>
      </w:r>
      <w:r>
        <w:rPr>
          <w:rFonts w:hint="eastAsia" w:ascii="宋体" w:hAnsi="宋体" w:eastAsia="宋体" w:cs="宋体"/>
          <w:sz w:val="30"/>
          <w:szCs w:val="30"/>
          <w:lang w:val="en-US" w:eastAsia="zh-CN"/>
        </w:rPr>
        <w:t>将所有试剂资质加盖公章的电子版资质上传至甲方医用检验试剂信息管理系统。</w:t>
      </w:r>
    </w:p>
    <w:p w14:paraId="757587C8">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eastAsia="zh-CN"/>
        </w:rPr>
        <w:t>如资质过期未及时更新，</w:t>
      </w:r>
      <w:r>
        <w:rPr>
          <w:rFonts w:hint="eastAsia" w:ascii="宋体" w:hAnsi="宋体" w:eastAsia="宋体" w:cs="宋体"/>
          <w:sz w:val="30"/>
          <w:szCs w:val="30"/>
        </w:rPr>
        <w:t>甲方有权单方面终止协议，由此产生的一切后果由</w:t>
      </w:r>
      <w:r>
        <w:rPr>
          <w:rFonts w:hint="eastAsia" w:ascii="宋体" w:hAnsi="宋体" w:eastAsia="宋体" w:cs="宋体"/>
          <w:sz w:val="30"/>
          <w:szCs w:val="30"/>
          <w:lang w:eastAsia="zh-CN"/>
        </w:rPr>
        <w:t>乙方</w:t>
      </w:r>
      <w:r>
        <w:rPr>
          <w:rFonts w:hint="eastAsia" w:ascii="宋体" w:hAnsi="宋体" w:eastAsia="宋体" w:cs="宋体"/>
          <w:sz w:val="30"/>
          <w:szCs w:val="30"/>
        </w:rPr>
        <w:t>承担。</w:t>
      </w:r>
    </w:p>
    <w:p w14:paraId="5A8BADCE">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（6）</w:t>
      </w:r>
      <w:r>
        <w:rPr>
          <w:rFonts w:hint="eastAsia" w:ascii="宋体" w:hAnsi="宋体" w:eastAsia="宋体" w:cs="宋体"/>
          <w:sz w:val="30"/>
          <w:szCs w:val="30"/>
        </w:rPr>
        <w:t>供货时间:</w:t>
      </w:r>
      <w:r>
        <w:rPr>
          <w:rFonts w:hint="eastAsia" w:ascii="宋体" w:hAnsi="宋体" w:eastAsia="宋体" w:cs="宋体"/>
          <w:sz w:val="30"/>
          <w:szCs w:val="30"/>
          <w:lang w:val="en-US" w:eastAsia="zh-CN"/>
        </w:rPr>
        <w:t>中标方应具有完善的销售供应和售后服务的保障体系，接到供货通知后,常规试剂：72小时内配送，最长不超96小时；急救/公卫试剂：≤12小时，加急订单随订随送；</w:t>
      </w:r>
    </w:p>
    <w:p w14:paraId="53673AC8">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违约处理：超时3次甲方有权终止合作，扣除当批货款30%作为违约金。</w:t>
      </w:r>
    </w:p>
    <w:p w14:paraId="7B20697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（7）遇收费下调或政策调整，如政府集中统一采购，经双方协商后按政策执行，需出具降价说明并执行。</w:t>
      </w:r>
    </w:p>
    <w:p w14:paraId="3DFFC0A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（8）合同执行期发现转包即终止合同并追责。</w:t>
      </w:r>
    </w:p>
    <w:p w14:paraId="2A90B6E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（9）中标产品与招标清单不符，甲方可重新招标或解约。</w:t>
      </w:r>
    </w:p>
    <w:p w14:paraId="32AA02E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（10）为确保检测体系的质量保证,该项目中标公司需满足使用科室以下要求：</w:t>
      </w:r>
    </w:p>
    <w:p w14:paraId="7C0E0D87">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10.1使用医院SPD试剂耗材管理系统规范试剂的使用和管理。</w:t>
      </w:r>
    </w:p>
    <w:p w14:paraId="7F8F4472">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10.2为保证检测项目顺利开展，合同中有未涉及的耗、试剂和血气质控品，负责配套提供使用。</w:t>
      </w:r>
    </w:p>
    <w:p w14:paraId="3912D4EC">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10.3试剂或耗材的质量要符合各专业的国家卫生行业标准及CNAS《检测和校准实验室能力认可准则在各领域的应用说明》。提供量值溯源报告。</w:t>
      </w:r>
    </w:p>
    <w:p w14:paraId="67E668B4">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10.4负责相关检测设备的维修、配件更换、设备保养及校准（设备校准≥1次/年）。</w:t>
      </w:r>
    </w:p>
    <w:p w14:paraId="2ECD0F89">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10.5项目开展前负责配合科室进行项目的性能验证。提供相关试剂。</w:t>
      </w:r>
    </w:p>
    <w:p w14:paraId="7784EE7C">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10.6涉及到的检验项目在山东省内室间质评有分组，参加山东省室间质评单位数≥15家。</w:t>
      </w:r>
    </w:p>
    <w:p w14:paraId="58D224C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jc w:val="left"/>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4.服务期：按签订合同执行日起服务期1年。</w:t>
      </w:r>
    </w:p>
    <w:p w14:paraId="55D1F40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b/>
          <w:bCs/>
          <w:sz w:val="30"/>
          <w:szCs w:val="30"/>
          <w:lang w:val="en-US" w:eastAsia="zh-CN"/>
        </w:rPr>
        <w:t>5.付款方式</w:t>
      </w:r>
      <w:r>
        <w:rPr>
          <w:rFonts w:hint="eastAsia" w:ascii="宋体" w:hAnsi="宋体" w:eastAsia="宋体" w:cs="宋体"/>
          <w:sz w:val="30"/>
          <w:szCs w:val="30"/>
          <w:lang w:val="en-US" w:eastAsia="zh-CN"/>
        </w:rPr>
        <w:t>：按照实际入库数量压批次结算，12个月后开始支付该批次货物的货款。</w:t>
      </w:r>
    </w:p>
    <w:p w14:paraId="56A78D4C">
      <w:pPr>
        <w:keepNext w:val="0"/>
        <w:keepLines w:val="0"/>
        <w:pageBreakBefore w:val="0"/>
        <w:kinsoku/>
        <w:wordWrap/>
        <w:overflowPunct/>
        <w:topLinePunct w:val="0"/>
        <w:autoSpaceDE/>
        <w:autoSpaceDN/>
        <w:bidi w:val="0"/>
        <w:adjustRightInd/>
        <w:snapToGrid/>
        <w:spacing w:line="240" w:lineRule="auto"/>
        <w:ind w:left="0" w:firstLine="643" w:firstLineChars="200"/>
        <w:jc w:val="left"/>
        <w:rPr>
          <w:rFonts w:hint="eastAsia" w:ascii="宋体" w:hAnsi="宋体" w:eastAsia="宋体" w:cs="宋体"/>
          <w:b/>
          <w:bCs/>
          <w:color w:val="auto"/>
          <w:kern w:val="2"/>
          <w:sz w:val="32"/>
          <w:szCs w:val="32"/>
          <w:highlight w:val="none"/>
          <w:lang w:val="en-US" w:eastAsia="zh-CN" w:bidi="ar"/>
        </w:rPr>
      </w:pPr>
      <w:r>
        <w:rPr>
          <w:rFonts w:hint="eastAsia" w:ascii="宋体" w:hAnsi="宋体" w:eastAsia="宋体" w:cs="宋体"/>
          <w:b/>
          <w:bCs/>
          <w:color w:val="auto"/>
          <w:kern w:val="2"/>
          <w:sz w:val="32"/>
          <w:szCs w:val="32"/>
          <w:highlight w:val="none"/>
          <w:lang w:val="en-US" w:eastAsia="zh-CN" w:bidi="ar"/>
        </w:rPr>
        <w:t>6.供应商资格要求</w:t>
      </w:r>
    </w:p>
    <w:p w14:paraId="1A2F610D">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营业执照、医疗器械生产许可证、医疗器械经营许可证、医疗器械经营备案凭证、医疗器械注册证、进口产品报关单、厂家授权书及上级主管、监管部门要求提供及应具备的一切证明及备案。</w:t>
      </w:r>
    </w:p>
    <w:p w14:paraId="58C065E1">
      <w:pPr>
        <w:keepNext w:val="0"/>
        <w:keepLines w:val="0"/>
        <w:pageBreakBefore w:val="0"/>
        <w:kinsoku/>
        <w:wordWrap/>
        <w:overflowPunct/>
        <w:topLinePunct w:val="0"/>
        <w:autoSpaceDE/>
        <w:autoSpaceDN/>
        <w:bidi w:val="0"/>
        <w:adjustRightInd/>
        <w:snapToGrid/>
        <w:spacing w:line="240" w:lineRule="auto"/>
        <w:ind w:left="0" w:firstLine="600" w:firstLineChars="20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所投产品须具备山东省药品和医用耗材招采管理子系统配送资质。</w:t>
      </w:r>
    </w:p>
    <w:p w14:paraId="0F2997EB">
      <w:pPr>
        <w:keepNext w:val="0"/>
        <w:keepLines w:val="0"/>
        <w:pageBreakBefore w:val="0"/>
        <w:widowControl w:val="0"/>
        <w:kinsoku/>
        <w:wordWrap/>
        <w:overflowPunct/>
        <w:topLinePunct w:val="0"/>
        <w:autoSpaceDE/>
        <w:autoSpaceDN/>
        <w:bidi w:val="0"/>
        <w:adjustRightInd/>
        <w:snapToGrid/>
        <w:spacing w:line="240" w:lineRule="auto"/>
        <w:ind w:left="0" w:firstLine="600" w:firstLineChars="200"/>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招标目录：</w:t>
      </w:r>
    </w:p>
    <w:tbl>
      <w:tblPr>
        <w:tblStyle w:val="7"/>
        <w:tblpPr w:leftFromText="180" w:rightFromText="180" w:vertAnchor="text" w:horzAnchor="page" w:tblpX="642" w:tblpY="120"/>
        <w:tblOverlap w:val="never"/>
        <w:tblW w:w="105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9"/>
        <w:gridCol w:w="1238"/>
        <w:gridCol w:w="1341"/>
        <w:gridCol w:w="1474"/>
        <w:gridCol w:w="707"/>
        <w:gridCol w:w="1017"/>
        <w:gridCol w:w="1620"/>
        <w:gridCol w:w="1447"/>
        <w:gridCol w:w="1032"/>
      </w:tblGrid>
      <w:tr w14:paraId="77FB9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BC9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0A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名称</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A96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注册证名称</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D8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控制单价（元）</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1F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9F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eastAsia="zh-CN"/>
              </w:rPr>
              <w:t>自报规格</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4DE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sz w:val="24"/>
                <w:szCs w:val="24"/>
                <w:u w:val="none"/>
                <w:lang w:eastAsia="zh-CN"/>
              </w:rPr>
              <w:t>自报单价（元）</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4AA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自报单位</w:t>
            </w: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FD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sz w:val="24"/>
                <w:szCs w:val="24"/>
                <w:u w:val="none"/>
                <w:lang w:val="en-US" w:eastAsia="zh-CN"/>
              </w:rPr>
              <w:t>品牌</w:t>
            </w:r>
          </w:p>
        </w:tc>
      </w:tr>
      <w:tr w14:paraId="11991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7"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4C3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5604">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测试卡</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846A">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0C0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sz w:val="24"/>
                <w:szCs w:val="24"/>
                <w:u w:val="none"/>
                <w:lang w:val="en-US" w:eastAsia="zh-CN"/>
              </w:rPr>
              <w:t>45</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7D9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sz w:val="24"/>
                <w:szCs w:val="24"/>
                <w:u w:val="none"/>
                <w:lang w:val="en-US" w:eastAsia="zh-CN"/>
              </w:rPr>
              <w:t>人份</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DFDAD">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241F8">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C960">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CD6F">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r>
      <w:tr w14:paraId="5A855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679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B21C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试剂包</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82416">
            <w:pPr>
              <w:keepNext w:val="0"/>
              <w:keepLines w:val="0"/>
              <w:pageBreakBefore w:val="0"/>
              <w:tabs>
                <w:tab w:val="left" w:pos="442"/>
              </w:tabs>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EEC5">
            <w:pPr>
              <w:keepNext w:val="0"/>
              <w:keepLines w:val="0"/>
              <w:pageBreakBefore w:val="0"/>
              <w:tabs>
                <w:tab w:val="left" w:pos="442"/>
              </w:tabs>
              <w:kinsoku/>
              <w:wordWrap/>
              <w:overflowPunct/>
              <w:topLinePunct w:val="0"/>
              <w:autoSpaceDE/>
              <w:autoSpaceDN/>
              <w:bidi w:val="0"/>
              <w:adjustRightInd/>
              <w:snapToGrid/>
              <w:spacing w:line="240" w:lineRule="auto"/>
              <w:jc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sz w:val="24"/>
                <w:szCs w:val="24"/>
                <w:u w:val="none"/>
                <w:lang w:val="en-US" w:eastAsia="zh-CN"/>
              </w:rPr>
              <w:t>300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FC80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sz w:val="24"/>
                <w:szCs w:val="24"/>
                <w:u w:val="none"/>
                <w:lang w:val="en-US" w:eastAsia="zh-CN"/>
              </w:rPr>
              <w:t>盒</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41E7">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B05A6">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7AFF0">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48886">
            <w:pPr>
              <w:keepNext w:val="0"/>
              <w:keepLines w:val="0"/>
              <w:pageBreakBefore w:val="0"/>
              <w:kinsoku/>
              <w:wordWrap/>
              <w:overflowPunct/>
              <w:topLinePunct w:val="0"/>
              <w:autoSpaceDE/>
              <w:autoSpaceDN/>
              <w:bidi w:val="0"/>
              <w:adjustRightInd/>
              <w:snapToGrid/>
              <w:spacing w:line="240" w:lineRule="auto"/>
              <w:ind w:left="0" w:firstLine="480" w:firstLineChars="200"/>
              <w:jc w:val="center"/>
              <w:rPr>
                <w:rFonts w:hint="eastAsia" w:ascii="宋体" w:hAnsi="宋体" w:eastAsia="宋体" w:cs="宋体"/>
                <w:i w:val="0"/>
                <w:color w:val="000000"/>
                <w:sz w:val="24"/>
                <w:szCs w:val="24"/>
                <w:u w:val="none"/>
                <w:lang w:val="en-US" w:eastAsia="zh-CN"/>
              </w:rPr>
            </w:pPr>
          </w:p>
        </w:tc>
      </w:tr>
    </w:tbl>
    <w:p w14:paraId="1E1A8F1F">
      <w:pPr>
        <w:keepNext w:val="0"/>
        <w:keepLines w:val="0"/>
        <w:pageBreakBefore w:val="0"/>
        <w:widowControl w:val="0"/>
        <w:kinsoku/>
        <w:wordWrap/>
        <w:overflowPunct/>
        <w:topLinePunct w:val="0"/>
        <w:autoSpaceDE/>
        <w:autoSpaceDN/>
        <w:bidi w:val="0"/>
        <w:adjustRightInd/>
        <w:snapToGrid/>
        <w:spacing w:line="240" w:lineRule="auto"/>
        <w:ind w:left="0" w:firstLine="600" w:firstLineChars="200"/>
        <w:jc w:val="left"/>
        <w:textAlignment w:val="auto"/>
        <w:rPr>
          <w:rFonts w:hint="eastAsia" w:ascii="宋体" w:hAnsi="宋体" w:eastAsia="宋体" w:cs="宋体"/>
          <w:sz w:val="30"/>
          <w:szCs w:val="30"/>
          <w:lang w:val="en-US" w:eastAsia="zh-CN"/>
        </w:rPr>
        <w:sectPr>
          <w:pgSz w:w="11906" w:h="16838"/>
          <w:pgMar w:top="1440" w:right="1800" w:bottom="1440" w:left="1800" w:header="851" w:footer="992" w:gutter="0"/>
          <w:cols w:space="425" w:num="1"/>
          <w:docGrid w:type="lines" w:linePitch="312" w:charSpace="0"/>
        </w:sectPr>
      </w:pPr>
    </w:p>
    <w:p w14:paraId="71917A6D">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4"/>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r>
        <w:rPr>
          <w:rFonts w:hint="eastAsia" w:ascii="宋体" w:hAnsi="宋体" w:cs="宋体"/>
          <w:b w:val="0"/>
          <w:bCs/>
          <w:sz w:val="28"/>
          <w:szCs w:val="28"/>
          <w:lang w:val="en-US" w:eastAsia="zh-CN"/>
        </w:rPr>
        <w:t>包一或包二、</w:t>
      </w:r>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2882E0BE">
      <w:pPr>
        <w:pStyle w:val="5"/>
        <w:jc w:val="left"/>
        <w:rPr>
          <w:rFonts w:hint="eastAsia" w:ascii="宋体" w:hAnsi="宋体" w:eastAsia="宋体" w:cs="宋体"/>
          <w:b w:val="0"/>
          <w:bCs/>
          <w:sz w:val="28"/>
          <w:szCs w:val="28"/>
          <w:lang w:val="en-US" w:eastAsia="zh-CN"/>
        </w:rPr>
      </w:pPr>
    </w:p>
    <w:p w14:paraId="1518D631">
      <w:pPr>
        <w:pStyle w:val="5"/>
        <w:jc w:val="left"/>
        <w:rPr>
          <w:rFonts w:hint="eastAsia" w:ascii="宋体" w:hAnsi="宋体" w:eastAsia="宋体" w:cs="宋体"/>
          <w:b w:val="0"/>
          <w:bCs/>
          <w:sz w:val="28"/>
          <w:szCs w:val="28"/>
          <w:lang w:val="en-US" w:eastAsia="zh-CN"/>
        </w:rPr>
      </w:pPr>
    </w:p>
    <w:p w14:paraId="48E2A573">
      <w:pPr>
        <w:pStyle w:val="5"/>
        <w:jc w:val="left"/>
        <w:rPr>
          <w:rFonts w:hint="eastAsia" w:ascii="宋体" w:hAnsi="宋体" w:eastAsia="宋体" w:cs="宋体"/>
          <w:b w:val="0"/>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0"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Calibri" w:hAnsi="宋体"/>
                <w:sz w:val="24"/>
                <w:szCs w:val="24"/>
              </w:rPr>
            </w:pPr>
            <w:r>
              <w:rPr>
                <w:rFonts w:hint="eastAsia" w:ascii="Calibri" w:hAnsi="宋体"/>
                <w:sz w:val="24"/>
                <w:szCs w:val="24"/>
              </w:rPr>
              <w:t>投标报价</w:t>
            </w:r>
          </w:p>
          <w:p w14:paraId="035839CA">
            <w:pPr>
              <w:tabs>
                <w:tab w:val="left" w:pos="0"/>
                <w:tab w:val="left" w:pos="180"/>
                <w:tab w:val="left" w:pos="360"/>
              </w:tabs>
              <w:spacing w:line="480" w:lineRule="exact"/>
              <w:ind w:left="-27" w:leftChars="-13" w:firstLine="90" w:firstLineChars="50"/>
              <w:jc w:val="left"/>
              <w:rPr>
                <w:rFonts w:hint="default" w:ascii="Calibri" w:hAnsi="宋体" w:eastAsiaTheme="minorEastAsia"/>
                <w:sz w:val="24"/>
                <w:szCs w:val="24"/>
                <w:lang w:val="en-US" w:eastAsia="zh-CN"/>
              </w:rPr>
            </w:pPr>
            <w:r>
              <w:rPr>
                <w:rFonts w:hint="eastAsia" w:ascii="Calibri" w:hAnsi="宋体"/>
                <w:b/>
                <w:bCs/>
                <w:sz w:val="18"/>
                <w:szCs w:val="18"/>
                <w:lang w:val="en-US" w:eastAsia="zh-CN"/>
              </w:rPr>
              <w:t>注：设备耗材分别报价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953045C">
            <w:pPr>
              <w:rPr>
                <w:rFonts w:hint="eastAsia" w:ascii="宋体" w:hAnsi="宋体"/>
                <w:bCs/>
                <w:sz w:val="24"/>
                <w:szCs w:val="24"/>
              </w:rPr>
            </w:pPr>
            <w:r>
              <w:rPr>
                <w:rFonts w:hint="eastAsia" w:ascii="宋体" w:hAnsi="宋体"/>
                <w:bCs/>
                <w:sz w:val="24"/>
                <w:szCs w:val="24"/>
              </w:rPr>
              <w:t>大写：</w:t>
            </w:r>
          </w:p>
          <w:p w14:paraId="5A429BDE">
            <w:pPr>
              <w:pStyle w:val="11"/>
              <w:ind w:firstLine="480"/>
              <w:rPr>
                <w:rFonts w:hint="eastAsia"/>
                <w:bCs/>
                <w:sz w:val="24"/>
                <w:szCs w:val="24"/>
              </w:rPr>
            </w:pPr>
            <w:bookmarkStart w:id="2" w:name="_GoBack"/>
            <w:bookmarkEnd w:id="2"/>
          </w:p>
          <w:p w14:paraId="20205BAF">
            <w:pPr>
              <w:tabs>
                <w:tab w:val="left" w:pos="1337"/>
              </w:tabs>
              <w:spacing w:line="276" w:lineRule="auto"/>
              <w:rPr>
                <w:rFonts w:hint="eastAsia" w:ascii="宋体" w:hAnsi="宋体"/>
                <w:bCs/>
                <w:sz w:val="24"/>
                <w:szCs w:val="24"/>
              </w:rPr>
            </w:pPr>
            <w:r>
              <w:rPr>
                <w:rFonts w:hint="eastAsia" w:ascii="宋体" w:hAnsi="宋体"/>
                <w:bCs/>
                <w:sz w:val="24"/>
                <w:szCs w:val="24"/>
              </w:rPr>
              <w:t>小写：</w:t>
            </w:r>
          </w:p>
          <w:p w14:paraId="64F2BFD9">
            <w:pPr>
              <w:tabs>
                <w:tab w:val="left" w:pos="1337"/>
              </w:tabs>
              <w:spacing w:line="276" w:lineRule="auto"/>
              <w:rPr>
                <w:rFonts w:hint="default" w:ascii="宋体" w:hAnsi="宋体"/>
                <w:bCs/>
                <w:sz w:val="24"/>
                <w:szCs w:val="24"/>
                <w:lang w:val="en-US" w:eastAsia="zh-CN"/>
              </w:rPr>
            </w:pPr>
            <w:r>
              <w:rPr>
                <w:rFonts w:hint="eastAsia" w:ascii="宋体" w:hAnsi="宋体"/>
                <w:b/>
                <w:bCs w:val="0"/>
                <w:sz w:val="18"/>
                <w:szCs w:val="18"/>
                <w:lang w:val="en-US" w:eastAsia="zh-CN"/>
              </w:rPr>
              <w:t>注：耗材报价为单价之和</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4BFED676">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lang w:val="en-US" w:eastAsia="zh-CN"/>
              </w:rPr>
              <w:t>交货</w:t>
            </w:r>
            <w:r>
              <w:rPr>
                <w:rFonts w:hint="eastAsia" w:ascii="宋体" w:hAnsi="宋体"/>
                <w:sz w:val="24"/>
                <w:szCs w:val="24"/>
              </w:rPr>
              <w:t>期</w:t>
            </w:r>
            <w:r>
              <w:rPr>
                <w:rFonts w:hint="eastAsia" w:ascii="宋体" w:hAnsi="宋体"/>
                <w:sz w:val="24"/>
                <w:szCs w:val="24"/>
                <w:lang w:eastAsia="zh-CN"/>
              </w:rPr>
              <w:t>（</w:t>
            </w:r>
            <w:r>
              <w:rPr>
                <w:rFonts w:hint="eastAsia" w:ascii="宋体" w:hAnsi="宋体"/>
                <w:sz w:val="24"/>
                <w:szCs w:val="24"/>
                <w:lang w:val="en-US" w:eastAsia="zh-CN"/>
              </w:rPr>
              <w:t>设备</w:t>
            </w:r>
            <w:r>
              <w:rPr>
                <w:rFonts w:hint="eastAsia" w:ascii="宋体" w:hAnsi="宋体"/>
                <w:sz w:val="24"/>
                <w:szCs w:val="24"/>
                <w:lang w:eastAsia="zh-CN"/>
              </w:rPr>
              <w:t>）</w:t>
            </w:r>
            <w:r>
              <w:rPr>
                <w:rFonts w:hint="eastAsia" w:ascii="宋体" w:hAnsi="宋体"/>
                <w:sz w:val="24"/>
                <w:szCs w:val="24"/>
                <w:lang w:val="en-US" w:eastAsia="zh-CN"/>
              </w:rPr>
              <w:t>/</w:t>
            </w:r>
          </w:p>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服务期（耗材）</w:t>
            </w:r>
            <w:r>
              <w:rPr>
                <w:rFonts w:hint="eastAsia" w:ascii="宋体" w:hAnsi="宋体"/>
                <w:sz w:val="24"/>
                <w:szCs w:val="24"/>
              </w:rPr>
              <w:t>：</w:t>
            </w:r>
            <w:r>
              <w:rPr>
                <w:rFonts w:ascii="宋体" w:hAnsi="宋体"/>
                <w:b/>
                <w:sz w:val="24"/>
                <w:szCs w:val="24"/>
              </w:rPr>
              <w:t xml:space="preserve"> </w:t>
            </w:r>
          </w:p>
        </w:tc>
      </w:tr>
      <w:tr w14:paraId="1E67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BC4CE7">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val="en-US" w:eastAsia="zh-CN"/>
              </w:rPr>
            </w:pPr>
            <w:r>
              <w:rPr>
                <w:rFonts w:hint="eastAsia" w:ascii="宋体" w:hAnsi="宋体"/>
                <w:b/>
                <w:sz w:val="24"/>
                <w:szCs w:val="24"/>
                <w:lang w:val="en-US" w:eastAsia="zh-CN"/>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64B208EC">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rPr>
              <w:t>质保期：</w:t>
            </w:r>
            <w:r>
              <w:rPr>
                <w:rFonts w:hint="eastAsia" w:ascii="宋体" w:hAnsi="宋体"/>
                <w:sz w:val="24"/>
                <w:szCs w:val="24"/>
                <w:u w:val="single"/>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6</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43E4138B">
      <w:pPr>
        <w:pStyle w:val="5"/>
        <w:ind w:left="0" w:leftChars="0" w:firstLine="0" w:firstLineChars="0"/>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1" w:name="_Toc460362873"/>
      <w:r>
        <w:rPr>
          <w:rFonts w:hint="eastAsia" w:ascii="黑体" w:eastAsia="黑体"/>
          <w:b/>
          <w:sz w:val="32"/>
          <w:lang w:val="en-US" w:eastAsia="zh-CN"/>
        </w:rPr>
        <w:t>耗材</w:t>
      </w:r>
      <w:r>
        <w:rPr>
          <w:rFonts w:hint="eastAsia" w:ascii="黑体" w:eastAsia="黑体"/>
          <w:b/>
          <w:sz w:val="32"/>
        </w:rPr>
        <w:t>报价明细表</w:t>
      </w:r>
      <w:bookmarkEnd w:id="1"/>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234" w:type="dxa"/>
        <w:tblInd w:w="-459" w:type="dxa"/>
        <w:tblLayout w:type="fixed"/>
        <w:tblCellMar>
          <w:top w:w="0" w:type="dxa"/>
          <w:left w:w="108" w:type="dxa"/>
          <w:bottom w:w="0" w:type="dxa"/>
          <w:right w:w="108" w:type="dxa"/>
        </w:tblCellMar>
      </w:tblPr>
      <w:tblGrid>
        <w:gridCol w:w="976"/>
        <w:gridCol w:w="753"/>
        <w:gridCol w:w="1515"/>
        <w:gridCol w:w="1365"/>
        <w:gridCol w:w="870"/>
        <w:gridCol w:w="1200"/>
        <w:gridCol w:w="915"/>
        <w:gridCol w:w="930"/>
        <w:gridCol w:w="945"/>
        <w:gridCol w:w="765"/>
      </w:tblGrid>
      <w:tr w14:paraId="50BB92B8">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序号</w:t>
            </w:r>
          </w:p>
        </w:tc>
        <w:tc>
          <w:tcPr>
            <w:tcW w:w="753"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名称</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注册证名称</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控制单价（元）</w:t>
            </w: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kern w:val="0"/>
                <w:sz w:val="24"/>
                <w:szCs w:val="24"/>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eastAsia="zh-CN"/>
              </w:rPr>
              <w:t>自报单价（元）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val="en-US" w:eastAsia="zh-CN"/>
              </w:rPr>
              <w:t>自报单位</w:t>
            </w: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eastAsia="zh-CN"/>
              </w:rPr>
              <w:t>自报规格</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hint="default" w:ascii="宋体" w:hAnsi="宋体" w:cs="宋体" w:eastAsiaTheme="minorEastAsia"/>
                <w:color w:val="000000"/>
                <w:sz w:val="20"/>
                <w:lang w:val="en-US" w:eastAsia="zh-CN"/>
              </w:rPr>
            </w:pPr>
            <w:r>
              <w:rPr>
                <w:rFonts w:hint="eastAsia" w:ascii="宋体" w:hAnsi="宋体" w:cs="宋体"/>
                <w:color w:val="000000"/>
                <w:sz w:val="20"/>
                <w:lang w:val="en-US" w:eastAsia="zh-CN"/>
              </w:rPr>
              <w:t>最小包装价</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color w:val="000000"/>
                <w:sz w:val="24"/>
                <w:szCs w:val="24"/>
                <w:u w:val="none"/>
                <w:lang w:val="en-US" w:eastAsia="zh-CN"/>
              </w:rPr>
              <w:t>品牌</w:t>
            </w:r>
          </w:p>
        </w:tc>
      </w:tr>
      <w:tr w14:paraId="023D4F4F">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r>
      <w:tr w14:paraId="1866E2F6">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r>
      <w:tr w14:paraId="6B3D7C33">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r>
      <w:tr w14:paraId="034EDAF8">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2816FA8D">
      <w:pPr>
        <w:pStyle w:val="5"/>
        <w:jc w:val="left"/>
        <w:rPr>
          <w:rFonts w:hint="eastAsia" w:ascii="仿宋_GB2312" w:hAnsi="仿宋_GB2312" w:eastAsia="仿宋_GB2312" w:cs="仿宋_GB2312"/>
          <w:color w:val="auto"/>
          <w:sz w:val="32"/>
          <w:szCs w:val="32"/>
          <w:highlight w:val="none"/>
          <w:lang w:val="en-US" w:eastAsia="zh-CN"/>
        </w:rPr>
      </w:pPr>
    </w:p>
    <w:p w14:paraId="447805FA">
      <w:pPr>
        <w:pStyle w:val="5"/>
        <w:jc w:val="left"/>
        <w:rPr>
          <w:rFonts w:hint="eastAsia" w:ascii="仿宋_GB2312" w:hAnsi="仿宋_GB2312" w:eastAsia="仿宋_GB2312" w:cs="仿宋_GB2312"/>
          <w:color w:val="auto"/>
          <w:sz w:val="32"/>
          <w:szCs w:val="32"/>
          <w:highlight w:val="none"/>
          <w:lang w:val="en-US" w:eastAsia="zh-CN"/>
        </w:rPr>
      </w:pPr>
    </w:p>
    <w:p w14:paraId="3FBB0B3F">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6"/>
      </w:pPr>
    </w:p>
    <w:p w14:paraId="3537BF16">
      <w:pPr>
        <w:pStyle w:val="5"/>
        <w:ind w:left="0" w:leftChars="0" w:firstLine="0" w:firstLineChars="0"/>
        <w:jc w:val="both"/>
      </w:pPr>
    </w:p>
    <w:p w14:paraId="44CF77A6">
      <w:pPr>
        <w:pStyle w:val="5"/>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5"/>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生产商的授权书、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p w14:paraId="5745A6DB">
      <w:pPr>
        <w:pStyle w:val="5"/>
        <w:jc w:val="left"/>
        <w:rPr>
          <w:rFonts w:hint="default" w:ascii="宋体" w:hAnsi="宋体" w:eastAsia="宋体" w:cs="宋体"/>
          <w:b w:val="0"/>
          <w:bCs/>
          <w:sz w:val="28"/>
          <w:szCs w:val="28"/>
          <w:lang w:val="en-US" w:eastAsia="zh-CN"/>
        </w:rPr>
      </w:pPr>
    </w:p>
    <w:p w14:paraId="1247ECFA">
      <w:pPr>
        <w:pStyle w:val="6"/>
        <w:ind w:left="0" w:leftChars="0" w:firstLine="0" w:firstLineChars="0"/>
        <w:rPr>
          <w:rFonts w:hint="default" w:ascii="宋体" w:hAnsi="宋体" w:cs="宋体"/>
          <w:b/>
          <w:bCs/>
          <w:sz w:val="28"/>
          <w:szCs w:val="28"/>
          <w:lang w:val="en-US" w:eastAsia="zh-CN"/>
        </w:rPr>
      </w:pPr>
    </w:p>
    <w:p w14:paraId="085E285D">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jc w:val="left"/>
        <w:textAlignment w:val="auto"/>
        <w:rPr>
          <w:rFonts w:hint="eastAsia" w:ascii="宋体" w:hAnsi="宋体" w:eastAsia="宋体" w:cs="宋体"/>
          <w:color w:val="auto"/>
          <w:sz w:val="32"/>
          <w:szCs w:val="32"/>
          <w:highlight w:val="none"/>
          <w:lang w:val="en-US" w:eastAsia="zh-CN"/>
        </w:rPr>
      </w:pPr>
    </w:p>
    <w:p w14:paraId="35330AC8">
      <w:pPr>
        <w:keepNext w:val="0"/>
        <w:keepLines w:val="0"/>
        <w:pageBreakBefore w:val="0"/>
        <w:numPr>
          <w:ilvl w:val="0"/>
          <w:numId w:val="0"/>
        </w:numPr>
        <w:kinsoku/>
        <w:wordWrap/>
        <w:overflowPunct/>
        <w:topLinePunct w:val="0"/>
        <w:autoSpaceDE/>
        <w:autoSpaceDN/>
        <w:bidi w:val="0"/>
        <w:adjustRightInd/>
        <w:snapToGrid/>
        <w:spacing w:line="240" w:lineRule="auto"/>
        <w:ind w:left="0" w:firstLine="640" w:firstLineChars="200"/>
        <w:jc w:val="left"/>
        <w:rPr>
          <w:rFonts w:hint="eastAsia" w:ascii="宋体" w:hAnsi="宋体" w:eastAsia="宋体" w:cs="宋体"/>
          <w:color w:val="auto"/>
          <w:sz w:val="32"/>
          <w:szCs w:val="32"/>
          <w:highlight w:val="none"/>
          <w:lang w:val="en-US" w:eastAsia="zh-CN"/>
        </w:rPr>
      </w:pPr>
    </w:p>
    <w:p w14:paraId="489495A2">
      <w:pPr>
        <w:keepNext w:val="0"/>
        <w:keepLines w:val="0"/>
        <w:pageBreakBefore w:val="0"/>
        <w:kinsoku/>
        <w:wordWrap/>
        <w:overflowPunct/>
        <w:topLinePunct w:val="0"/>
        <w:autoSpaceDE/>
        <w:autoSpaceDN/>
        <w:bidi w:val="0"/>
        <w:adjustRightInd/>
        <w:snapToGrid/>
        <w:spacing w:line="240" w:lineRule="auto"/>
        <w:ind w:left="0" w:firstLine="420" w:firstLineChars="200"/>
        <w:jc w:val="left"/>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DA8D5"/>
    <w:multiLevelType w:val="singleLevel"/>
    <w:tmpl w:val="995DA8D5"/>
    <w:lvl w:ilvl="0" w:tentative="0">
      <w:start w:val="6"/>
      <w:numFmt w:val="decimal"/>
      <w:lvlText w:val="%1."/>
      <w:lvlJc w:val="left"/>
      <w:pPr>
        <w:tabs>
          <w:tab w:val="left" w:pos="312"/>
        </w:tabs>
      </w:pPr>
    </w:lvl>
  </w:abstractNum>
  <w:abstractNum w:abstractNumId="1">
    <w:nsid w:val="CD7F229E"/>
    <w:multiLevelType w:val="singleLevel"/>
    <w:tmpl w:val="CD7F229E"/>
    <w:lvl w:ilvl="0" w:tentative="0">
      <w:start w:val="4"/>
      <w:numFmt w:val="decimal"/>
      <w:suff w:val="nothing"/>
      <w:lvlText w:val="（%1）"/>
      <w:lvlJc w:val="left"/>
    </w:lvl>
  </w:abstractNum>
  <w:abstractNum w:abstractNumId="2">
    <w:nsid w:val="00473C05"/>
    <w:multiLevelType w:val="singleLevel"/>
    <w:tmpl w:val="00473C05"/>
    <w:lvl w:ilvl="0" w:tentative="0">
      <w:start w:val="3"/>
      <w:numFmt w:val="chineseCounting"/>
      <w:suff w:val="nothing"/>
      <w:lvlText w:val="%1、"/>
      <w:lvlJc w:val="left"/>
      <w:rPr>
        <w:rFonts w:hint="eastAsia"/>
      </w:rPr>
    </w:lvl>
  </w:abstractNum>
  <w:abstractNum w:abstractNumId="3">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06407FB"/>
    <w:multiLevelType w:val="multilevel"/>
    <w:tmpl w:val="706407FB"/>
    <w:lvl w:ilvl="0" w:tentative="0">
      <w:start w:val="1"/>
      <w:numFmt w:val="decimal"/>
      <w:pStyle w:val="9"/>
      <w:lvlText w:val="%1."/>
      <w:lvlJc w:val="left"/>
      <w:pPr>
        <w:ind w:left="420" w:hanging="420"/>
      </w:pPr>
      <w:rPr>
        <w:rFonts w:hint="eastAsia"/>
      </w:rPr>
    </w:lvl>
    <w:lvl w:ilvl="1" w:tentative="0">
      <w:start w:val="1"/>
      <w:numFmt w:val="decimal"/>
      <w:pStyle w:val="10"/>
      <w:lvlText w:val="%1.%2"/>
      <w:lvlJc w:val="left"/>
      <w:pPr>
        <w:ind w:left="680" w:hanging="68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56A16"/>
    <w:rsid w:val="20CE19BB"/>
    <w:rsid w:val="59756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 w:type="paragraph" w:customStyle="1" w:styleId="9">
    <w:name w:val="@max 1级数字标题"/>
    <w:qFormat/>
    <w:uiPriority w:val="0"/>
    <w:pPr>
      <w:numPr>
        <w:ilvl w:val="0"/>
        <w:numId w:val="1"/>
      </w:numPr>
      <w:spacing w:before="50" w:beforeLines="50" w:after="50" w:afterLines="50"/>
    </w:pPr>
    <w:rPr>
      <w:rFonts w:eastAsia="宋体" w:asciiTheme="minorHAnsi" w:hAnsiTheme="minorHAnsi" w:cstheme="minorBidi"/>
      <w:b/>
      <w:bCs/>
      <w:kern w:val="44"/>
      <w:sz w:val="24"/>
      <w:szCs w:val="44"/>
      <w:lang w:val="en-US" w:eastAsia="zh-CN" w:bidi="ar-SA"/>
    </w:rPr>
  </w:style>
  <w:style w:type="paragraph" w:customStyle="1" w:styleId="10">
    <w:name w:val="@max 2级数字标题"/>
    <w:qFormat/>
    <w:uiPriority w:val="0"/>
    <w:pPr>
      <w:numPr>
        <w:ilvl w:val="1"/>
        <w:numId w:val="1"/>
      </w:numPr>
      <w:spacing w:line="360" w:lineRule="auto"/>
      <w:ind w:left="454" w:hanging="454"/>
    </w:pPr>
    <w:rPr>
      <w:rFonts w:eastAsia="宋体" w:asciiTheme="minorHAnsi" w:hAnsiTheme="minorHAnsi" w:cstheme="minorBidi"/>
      <w:bCs/>
      <w:kern w:val="44"/>
      <w:sz w:val="21"/>
      <w:szCs w:val="44"/>
      <w:lang w:val="en-US" w:eastAsia="zh-CN" w:bidi="ar-SA"/>
    </w:rPr>
  </w:style>
  <w:style w:type="paragraph" w:customStyle="1" w:styleId="11">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5968</Words>
  <Characters>6308</Characters>
  <Lines>0</Lines>
  <Paragraphs>0</Paragraphs>
  <TotalTime>53</TotalTime>
  <ScaleCrop>false</ScaleCrop>
  <LinksUpToDate>false</LinksUpToDate>
  <CharactersWithSpaces>6447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2025-08-11T00:47:00Z</dcterms:created>
  <dc:creator>WPS_1642385853</dc:creator>
  <cp:lastModifiedBy>WPS_1642385853</cp:lastModifiedBy>
  <dcterms:modified xsi:type="dcterms:W3CDTF">2025-08-11T07:39:49Z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2D42ACF7F3504057915863B04874924F_11</vt:lpwstr>
  </property>
  <property fmtid="{D5CDD505-2E9C-101B-9397-08002B2CF9AE}" pid="4" name="KSOTemplateDocerSaveRecord">
    <vt:lpwstr>eyJoZGlkIjoiYWIyNmM1MGE1MTY4YzFjNDAwNWY5NjM4NDg0ZWY0NmYiLCJ1c2VySWQiOiIxMzE3MzE5MzkzIn0=</vt:lpwstr>
  </property>
</Properties>
</file>